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0AB" w:rsidRPr="00CD5EB2" w:rsidRDefault="008040AB" w:rsidP="00CD5EB2">
      <w:pPr>
        <w:numPr>
          <w:ilvl w:val="0"/>
          <w:numId w:val="6"/>
        </w:numPr>
        <w:tabs>
          <w:tab w:val="clear" w:pos="1080"/>
          <w:tab w:val="num" w:pos="720"/>
        </w:tabs>
        <w:spacing w:before="360"/>
        <w:ind w:left="720"/>
        <w:rPr>
          <w:b/>
          <w:spacing w:val="-2"/>
        </w:rPr>
      </w:pPr>
      <w:r w:rsidRPr="00CD5EB2">
        <w:rPr>
          <w:b/>
          <w:spacing w:val="-2"/>
        </w:rPr>
        <w:t>PURPOSE:</w:t>
      </w:r>
    </w:p>
    <w:p w:rsidR="008040AB" w:rsidRDefault="008040AB">
      <w:pPr>
        <w:pStyle w:val="BodyTextIndent3"/>
      </w:pPr>
    </w:p>
    <w:p w:rsidR="008040AB" w:rsidRDefault="008040AB">
      <w:pPr>
        <w:pStyle w:val="BodyTextIndent3"/>
      </w:pPr>
      <w:r>
        <w:t>T</w:t>
      </w:r>
      <w:r w:rsidR="00754A19">
        <w:t>his document establishes</w:t>
      </w:r>
      <w:r>
        <w:t xml:space="preserve"> </w:t>
      </w:r>
      <w:r w:rsidR="00774A3F">
        <w:t>best practices</w:t>
      </w:r>
      <w:r>
        <w:t xml:space="preserve"> </w:t>
      </w:r>
      <w:r w:rsidR="00312038">
        <w:t xml:space="preserve">for </w:t>
      </w:r>
      <w:r w:rsidR="00AB1196">
        <w:t xml:space="preserve">quantitative </w:t>
      </w:r>
      <w:r w:rsidR="00312038">
        <w:t xml:space="preserve">ambient air </w:t>
      </w:r>
      <w:r w:rsidR="00AB1196">
        <w:t xml:space="preserve">quality </w:t>
      </w:r>
      <w:r w:rsidR="00312038">
        <w:t xml:space="preserve">monitoring </w:t>
      </w:r>
      <w:r w:rsidR="009208CE">
        <w:t xml:space="preserve">and other protective measures </w:t>
      </w:r>
      <w:r w:rsidR="00D661F8">
        <w:t>to prevent dangerous</w:t>
      </w:r>
      <w:r w:rsidR="00AB1196">
        <w:t xml:space="preserve"> exposure to</w:t>
      </w:r>
      <w:r w:rsidR="00430641">
        <w:t xml:space="preserve"> carbon monoxide (CO) and</w:t>
      </w:r>
      <w:r w:rsidR="00312038">
        <w:t xml:space="preserve"> hydrogen cyanide (HCN) </w:t>
      </w:r>
      <w:r w:rsidR="001F2718">
        <w:t>a</w:t>
      </w:r>
      <w:r w:rsidR="00191384">
        <w:t xml:space="preserve">t working fires of all types.  </w:t>
      </w:r>
      <w:r w:rsidR="00774A3F">
        <w:t>It</w:t>
      </w:r>
      <w:r w:rsidR="001F2718">
        <w:t xml:space="preserve"> is primarily intended to provide a means of demonstrating acceptable levels of CO and HCN </w:t>
      </w:r>
      <w:r w:rsidR="00774A3F">
        <w:t>during and</w:t>
      </w:r>
      <w:r w:rsidR="00191384">
        <w:t xml:space="preserve"> following a working </w:t>
      </w:r>
      <w:r w:rsidR="004E6F80">
        <w:t xml:space="preserve">fire </w:t>
      </w:r>
      <w:r w:rsidR="00312038">
        <w:t>before allowi</w:t>
      </w:r>
      <w:r w:rsidR="001F2718">
        <w:t>ng firefighters to doff</w:t>
      </w:r>
      <w:r w:rsidR="00312038">
        <w:t xml:space="preserve"> their self-contained breathing apparatus (SCBA)</w:t>
      </w:r>
      <w:r>
        <w:t>.</w:t>
      </w:r>
      <w:r w:rsidR="001F2718">
        <w:t xml:space="preserve">  It also may prompt </w:t>
      </w:r>
      <w:r w:rsidR="00774A3F">
        <w:t>support sector</w:t>
      </w:r>
      <w:r w:rsidR="00D661F8">
        <w:t xml:space="preserve"> </w:t>
      </w:r>
      <w:r w:rsidR="001F2718">
        <w:t>personnel</w:t>
      </w:r>
      <w:r w:rsidR="004E6F80">
        <w:t xml:space="preserve"> exposed to </w:t>
      </w:r>
      <w:r w:rsidR="00C66511">
        <w:t xml:space="preserve">significant amounts of </w:t>
      </w:r>
      <w:r w:rsidR="004E6F80">
        <w:t>smoke</w:t>
      </w:r>
      <w:r w:rsidR="00BB3680">
        <w:t>, even in an open-</w:t>
      </w:r>
      <w:r w:rsidR="002C37D4">
        <w:t>air environment,</w:t>
      </w:r>
      <w:r w:rsidR="001F2718">
        <w:t xml:space="preserve"> to don an SCBA or retreat to a safe location.</w:t>
      </w:r>
    </w:p>
    <w:p w:rsidR="008040AB" w:rsidRDefault="00936C25" w:rsidP="00CD5EB2">
      <w:pPr>
        <w:numPr>
          <w:ilvl w:val="0"/>
          <w:numId w:val="6"/>
        </w:numPr>
        <w:tabs>
          <w:tab w:val="clear" w:pos="1080"/>
          <w:tab w:val="num" w:pos="720"/>
        </w:tabs>
        <w:spacing w:before="360"/>
        <w:ind w:left="720"/>
        <w:rPr>
          <w:b/>
          <w:spacing w:val="-2"/>
        </w:rPr>
      </w:pPr>
      <w:r>
        <w:rPr>
          <w:b/>
          <w:spacing w:val="-2"/>
        </w:rPr>
        <w:t>BEST PRACTICE</w:t>
      </w:r>
      <w:r w:rsidR="008040AB">
        <w:rPr>
          <w:b/>
          <w:spacing w:val="-2"/>
        </w:rPr>
        <w:t>:</w:t>
      </w:r>
    </w:p>
    <w:p w:rsidR="00430641" w:rsidRDefault="003B2FC7" w:rsidP="003B2FC7">
      <w:pPr>
        <w:numPr>
          <w:ilvl w:val="0"/>
          <w:numId w:val="5"/>
        </w:numPr>
        <w:tabs>
          <w:tab w:val="clear" w:pos="360"/>
        </w:tabs>
        <w:spacing w:before="120"/>
        <w:ind w:left="1080"/>
      </w:pPr>
      <w:r>
        <w:t>CO is a by-product of incomplete combustion.  HCN is a by-p</w:t>
      </w:r>
      <w:r w:rsidR="005C7968">
        <w:t>roduct of combustion</w:t>
      </w:r>
      <w:r>
        <w:t xml:space="preserve"> when synthe</w:t>
      </w:r>
      <w:r w:rsidR="00430641">
        <w:t xml:space="preserve">tics </w:t>
      </w:r>
      <w:r w:rsidR="005C7968">
        <w:t xml:space="preserve">and composites </w:t>
      </w:r>
      <w:r w:rsidR="00430641">
        <w:t>are involved.</w:t>
      </w:r>
      <w:r w:rsidR="00555E5C">
        <w:t xml:space="preserve">  Both</w:t>
      </w:r>
      <w:r w:rsidR="005C7968">
        <w:t xml:space="preserve"> CO and HCN are toxic, and</w:t>
      </w:r>
      <w:r w:rsidR="00555E5C">
        <w:t xml:space="preserve"> </w:t>
      </w:r>
      <w:r w:rsidR="006A6C69">
        <w:t xml:space="preserve">the </w:t>
      </w:r>
      <w:r w:rsidR="00E004F9">
        <w:t>symptoms of over</w:t>
      </w:r>
      <w:r w:rsidR="006A6C69">
        <w:t>exposure</w:t>
      </w:r>
      <w:r w:rsidR="00555E5C">
        <w:t xml:space="preserve"> include </w:t>
      </w:r>
      <w:r w:rsidR="006A6C69">
        <w:t>significant and potentially fatal effects on the central nervous, cardiovascular, and respiratory systems</w:t>
      </w:r>
      <w:r w:rsidR="00420A13">
        <w:t>.</w:t>
      </w:r>
      <w:r w:rsidR="00C66511">
        <w:t xml:space="preserve"> [</w:t>
      </w:r>
      <w:r w:rsidR="00487C4B" w:rsidRPr="00835783">
        <w:rPr>
          <w:i/>
        </w:rPr>
        <w:t>CDC</w:t>
      </w:r>
      <w:r w:rsidR="00D80CD7" w:rsidRPr="00835783">
        <w:rPr>
          <w:i/>
        </w:rPr>
        <w:t>, ATSDR</w:t>
      </w:r>
      <w:r w:rsidR="00C66511">
        <w:t>]</w:t>
      </w:r>
    </w:p>
    <w:p w:rsidR="00430641" w:rsidRDefault="00430641" w:rsidP="00430641">
      <w:pPr>
        <w:numPr>
          <w:ilvl w:val="1"/>
          <w:numId w:val="11"/>
        </w:numPr>
        <w:spacing w:before="120"/>
        <w:ind w:left="1440"/>
      </w:pPr>
      <w:r>
        <w:t>T</w:t>
      </w:r>
      <w:r w:rsidR="00D80CD7">
        <w:t>he use of SCBA should be</w:t>
      </w:r>
      <w:r w:rsidR="003B2FC7">
        <w:t xml:space="preserve"> required for personnel engaged in </w:t>
      </w:r>
      <w:r w:rsidR="000D0EBD">
        <w:t>fire suppression or overhaul operations in</w:t>
      </w:r>
      <w:r w:rsidR="008F5F75">
        <w:t>volving</w:t>
      </w:r>
      <w:r w:rsidR="000D0EBD">
        <w:t xml:space="preserve"> a</w:t>
      </w:r>
      <w:r w:rsidR="008F5F75">
        <w:t>ny</w:t>
      </w:r>
      <w:r w:rsidR="000D0EBD">
        <w:t xml:space="preserve"> structure or </w:t>
      </w:r>
      <w:r w:rsidR="003B2FC7">
        <w:t>vehicle</w:t>
      </w:r>
      <w:r w:rsidR="000D0EBD">
        <w:t xml:space="preserve">, </w:t>
      </w:r>
      <w:r w:rsidR="008F5F75">
        <w:t>or which occur</w:t>
      </w:r>
      <w:r w:rsidR="000D0EBD">
        <w:t xml:space="preserve"> in an</w:t>
      </w:r>
      <w:r w:rsidR="004E4779">
        <w:t>y</w:t>
      </w:r>
      <w:r w:rsidR="000D0EBD">
        <w:t xml:space="preserve"> enclosed area, </w:t>
      </w:r>
      <w:r w:rsidR="003B2FC7" w:rsidRPr="003B2FC7">
        <w:t xml:space="preserve">until a safe atmosphere </w:t>
      </w:r>
      <w:r w:rsidR="00AB1196">
        <w:t xml:space="preserve">can be </w:t>
      </w:r>
      <w:r w:rsidR="00191384">
        <w:t>verifi</w:t>
      </w:r>
      <w:r w:rsidR="00AB1196">
        <w:t>ed through air</w:t>
      </w:r>
      <w:r w:rsidR="003B2FC7" w:rsidRPr="003B2FC7">
        <w:t xml:space="preserve"> monitoring</w:t>
      </w:r>
      <w:r w:rsidR="00E004F9">
        <w:t>.</w:t>
      </w:r>
    </w:p>
    <w:p w:rsidR="005C7968" w:rsidRDefault="005C7968" w:rsidP="005C7968">
      <w:pPr>
        <w:numPr>
          <w:ilvl w:val="1"/>
          <w:numId w:val="11"/>
        </w:numPr>
        <w:spacing w:before="120"/>
        <w:ind w:left="1440"/>
      </w:pPr>
      <w:r>
        <w:t>Moving to a safer location is the preferred means of exposure control for personnel who are not directly engaged in fire suppression or overhaul operations.</w:t>
      </w:r>
    </w:p>
    <w:p w:rsidR="00430641" w:rsidRDefault="00D80CD7" w:rsidP="00430641">
      <w:pPr>
        <w:numPr>
          <w:ilvl w:val="1"/>
          <w:numId w:val="11"/>
        </w:numPr>
        <w:spacing w:before="120"/>
        <w:ind w:left="1440"/>
      </w:pPr>
      <w:r>
        <w:t>The use of SCBA should</w:t>
      </w:r>
      <w:r w:rsidR="003B2FC7">
        <w:t xml:space="preserve"> not </w:t>
      </w:r>
      <w:r>
        <w:t xml:space="preserve">be </w:t>
      </w:r>
      <w:r w:rsidR="003B2FC7">
        <w:t xml:space="preserve">required for </w:t>
      </w:r>
      <w:r w:rsidR="000D0EBD">
        <w:t xml:space="preserve">personnel engaged in fire suppression or overhaul operations </w:t>
      </w:r>
      <w:r w:rsidR="008F5F75">
        <w:t>involving</w:t>
      </w:r>
      <w:r w:rsidR="000D0EBD">
        <w:t xml:space="preserve"> </w:t>
      </w:r>
      <w:r w:rsidR="008F5F75">
        <w:t xml:space="preserve">a </w:t>
      </w:r>
      <w:r w:rsidR="003B2FC7">
        <w:t>field, brus</w:t>
      </w:r>
      <w:r w:rsidR="001E2781">
        <w:t>h,</w:t>
      </w:r>
      <w:r w:rsidR="00AB1196">
        <w:t xml:space="preserve"> </w:t>
      </w:r>
      <w:r w:rsidR="001E2781">
        <w:t>or</w:t>
      </w:r>
      <w:r w:rsidR="008F5F75">
        <w:t xml:space="preserve"> similar non-enclosed area</w:t>
      </w:r>
      <w:r w:rsidR="00207784">
        <w:t xml:space="preserve"> </w:t>
      </w:r>
      <w:r w:rsidR="005C7968">
        <w:t>with</w:t>
      </w:r>
      <w:r w:rsidR="00774A3F">
        <w:t xml:space="preserve"> </w:t>
      </w:r>
      <w:r w:rsidR="005C7968">
        <w:t xml:space="preserve">only </w:t>
      </w:r>
      <w:r w:rsidR="00774A3F">
        <w:t xml:space="preserve">natural </w:t>
      </w:r>
      <w:r w:rsidR="001E2781">
        <w:t>materials</w:t>
      </w:r>
      <w:r w:rsidR="005C7968">
        <w:t xml:space="preserve"> involved</w:t>
      </w:r>
      <w:r w:rsidR="00E004F9">
        <w:t>.</w:t>
      </w:r>
    </w:p>
    <w:p w:rsidR="008A480C" w:rsidRDefault="00AE185F" w:rsidP="00AE185F">
      <w:pPr>
        <w:numPr>
          <w:ilvl w:val="0"/>
          <w:numId w:val="5"/>
        </w:numPr>
        <w:tabs>
          <w:tab w:val="clear" w:pos="360"/>
        </w:tabs>
        <w:spacing w:before="120"/>
        <w:ind w:left="1080"/>
      </w:pPr>
      <w:r>
        <w:t>T</w:t>
      </w:r>
      <w:r w:rsidRPr="00D50A63">
        <w:t xml:space="preserve">ransport to a </w:t>
      </w:r>
      <w:r w:rsidR="008D26EB">
        <w:t>hospital</w:t>
      </w:r>
      <w:r w:rsidRPr="00D50A63">
        <w:t xml:space="preserve"> </w:t>
      </w:r>
      <w:r>
        <w:t xml:space="preserve">for </w:t>
      </w:r>
      <w:r w:rsidR="00430641">
        <w:t>CO and</w:t>
      </w:r>
      <w:r w:rsidR="00427E68">
        <w:t xml:space="preserve"> HCN</w:t>
      </w:r>
      <w:r w:rsidR="0046527D">
        <w:t xml:space="preserve"> </w:t>
      </w:r>
      <w:r>
        <w:t xml:space="preserve">evaluation </w:t>
      </w:r>
      <w:r w:rsidR="008D26EB">
        <w:t xml:space="preserve">(blood analysis) </w:t>
      </w:r>
      <w:r w:rsidRPr="00D50A63">
        <w:t xml:space="preserve">should not be delayed </w:t>
      </w:r>
      <w:r>
        <w:t>i</w:t>
      </w:r>
      <w:r w:rsidRPr="00D50A63">
        <w:t xml:space="preserve">f </w:t>
      </w:r>
      <w:r>
        <w:t xml:space="preserve">potentially dangerous </w:t>
      </w:r>
      <w:r w:rsidR="00427E68">
        <w:t>exposure</w:t>
      </w:r>
      <w:r>
        <w:t xml:space="preserve"> </w:t>
      </w:r>
      <w:r w:rsidRPr="00D50A63">
        <w:t>is suspected</w:t>
      </w:r>
      <w:r w:rsidR="0046527D">
        <w:t xml:space="preserve">.  </w:t>
      </w:r>
      <w:r w:rsidR="00D50A63" w:rsidRPr="00D50A63">
        <w:t xml:space="preserve">HCN exposure </w:t>
      </w:r>
      <w:bookmarkStart w:id="0" w:name="_GoBack"/>
      <w:bookmarkEnd w:id="0"/>
      <w:r w:rsidR="008D26EB">
        <w:t xml:space="preserve">otherwise </w:t>
      </w:r>
      <w:r w:rsidR="00D50A63" w:rsidRPr="00D50A63">
        <w:t xml:space="preserve">may be difficult to determine. </w:t>
      </w:r>
      <w:r>
        <w:t xml:space="preserve"> </w:t>
      </w:r>
      <w:r w:rsidR="006B71F5">
        <w:t>HCN poisoning</w:t>
      </w:r>
      <w:r w:rsidR="00D50A63" w:rsidRPr="00D50A63">
        <w:t xml:space="preserve"> symptoms are similar</w:t>
      </w:r>
      <w:r w:rsidR="006B71F5">
        <w:t xml:space="preserve"> to those for CO</w:t>
      </w:r>
      <w:r>
        <w:t xml:space="preserve">.  Low exposure levels </w:t>
      </w:r>
      <w:r w:rsidR="00D50A63" w:rsidRPr="00D50A63">
        <w:t xml:space="preserve">may </w:t>
      </w:r>
      <w:r>
        <w:t>produc</w:t>
      </w:r>
      <w:r w:rsidR="00D50A63" w:rsidRPr="00D50A63">
        <w:t>e headache, nausea, fatigue and dizzy spells</w:t>
      </w:r>
      <w:r>
        <w:t>, while high</w:t>
      </w:r>
      <w:r w:rsidR="00D50A63" w:rsidRPr="00D50A63">
        <w:t xml:space="preserve"> levels </w:t>
      </w:r>
      <w:r>
        <w:t>may produce</w:t>
      </w:r>
      <w:r w:rsidR="00D50A63" w:rsidRPr="00D50A63">
        <w:t xml:space="preserve"> respiratory problems, unconsciousness, an</w:t>
      </w:r>
      <w:r>
        <w:t>d cardiac arrest</w:t>
      </w:r>
      <w:r w:rsidR="00D50A63" w:rsidRPr="00D50A63">
        <w:t xml:space="preserve">. </w:t>
      </w:r>
      <w:r>
        <w:t xml:space="preserve"> However, HCN is 35 times more toxic than CO and has a </w:t>
      </w:r>
      <w:r w:rsidR="00436483">
        <w:t xml:space="preserve">metabolic </w:t>
      </w:r>
      <w:r>
        <w:t>half-life</w:t>
      </w:r>
      <w:r w:rsidR="00427E68">
        <w:t xml:space="preserve"> of only one</w:t>
      </w:r>
      <w:r w:rsidR="0046527D">
        <w:t xml:space="preserve"> hour</w:t>
      </w:r>
      <w:r w:rsidR="00420A13">
        <w:t xml:space="preserve">. </w:t>
      </w:r>
      <w:r w:rsidR="00436483">
        <w:t xml:space="preserve"> </w:t>
      </w:r>
      <w:r w:rsidR="00420A13">
        <w:t>Treatment for carbon monoxide inhalation can revive the patient, however, without a cyanide antidote kit, the lasting effects of hydrogen cyanide poisoning can create enduring medical complications.</w:t>
      </w:r>
      <w:r w:rsidR="00C66511">
        <w:t xml:space="preserve"> [</w:t>
      </w:r>
      <w:r w:rsidR="00774A3F" w:rsidRPr="00835783">
        <w:rPr>
          <w:i/>
        </w:rPr>
        <w:t>Rochford</w:t>
      </w:r>
      <w:r w:rsidR="00C66511">
        <w:t>]</w:t>
      </w:r>
    </w:p>
    <w:p w:rsidR="008040AB" w:rsidRDefault="00191384" w:rsidP="00CD5EB2">
      <w:pPr>
        <w:numPr>
          <w:ilvl w:val="0"/>
          <w:numId w:val="6"/>
        </w:numPr>
        <w:tabs>
          <w:tab w:val="clear" w:pos="1080"/>
          <w:tab w:val="num" w:pos="720"/>
        </w:tabs>
        <w:spacing w:before="360"/>
        <w:ind w:left="720"/>
        <w:rPr>
          <w:b/>
          <w:spacing w:val="-2"/>
        </w:rPr>
      </w:pPr>
      <w:r>
        <w:rPr>
          <w:b/>
          <w:spacing w:val="-2"/>
        </w:rPr>
        <w:t>PERSONAL PROTECTIVE EQUIPMENT</w:t>
      </w:r>
      <w:r w:rsidR="008022A1">
        <w:rPr>
          <w:b/>
          <w:spacing w:val="-2"/>
        </w:rPr>
        <w:t xml:space="preserve"> (PPE)</w:t>
      </w:r>
    </w:p>
    <w:p w:rsidR="00191384" w:rsidRPr="00F72444" w:rsidRDefault="00F72444" w:rsidP="00A155AE">
      <w:pPr>
        <w:numPr>
          <w:ilvl w:val="0"/>
          <w:numId w:val="14"/>
        </w:numPr>
        <w:tabs>
          <w:tab w:val="clear" w:pos="1080"/>
          <w:tab w:val="num" w:pos="360"/>
        </w:tabs>
        <w:spacing w:before="120"/>
      </w:pPr>
      <w:r w:rsidRPr="00A155AE">
        <w:t>SCBA is the best preventive measure because smoke inhalation is the primary route of exposure, and it prevents secondary exposure through</w:t>
      </w:r>
      <w:r w:rsidR="00356D56">
        <w:t xml:space="preserve"> the</w:t>
      </w:r>
      <w:r w:rsidRPr="00A155AE">
        <w:t xml:space="preserve"> inge</w:t>
      </w:r>
      <w:r w:rsidR="00356D56">
        <w:t>stion of soot or contaminated saliva and</w:t>
      </w:r>
      <w:r w:rsidRPr="00A155AE">
        <w:t xml:space="preserve"> mucous.</w:t>
      </w:r>
    </w:p>
    <w:p w:rsidR="00F72444" w:rsidRDefault="004074F1" w:rsidP="004074F1">
      <w:pPr>
        <w:numPr>
          <w:ilvl w:val="0"/>
          <w:numId w:val="14"/>
        </w:numPr>
        <w:tabs>
          <w:tab w:val="clear" w:pos="1080"/>
          <w:tab w:val="num" w:pos="360"/>
        </w:tabs>
        <w:spacing w:before="120"/>
      </w:pPr>
      <w:r>
        <w:t>Structural t</w:t>
      </w:r>
      <w:r w:rsidR="00F72444" w:rsidRPr="00F72444">
        <w:t>urnout gear helps protect personnel from absorbing toxic gases and smoke through the skin, which i</w:t>
      </w:r>
      <w:r w:rsidR="00937C6D">
        <w:t>s a secondary route of exposure, and</w:t>
      </w:r>
      <w:r w:rsidR="00F72444">
        <w:t xml:space="preserve"> should be worn </w:t>
      </w:r>
      <w:r w:rsidR="00356D56">
        <w:t xml:space="preserve">by </w:t>
      </w:r>
      <w:r w:rsidR="00356D56">
        <w:lastRenderedPageBreak/>
        <w:t>personnel engaged in fire suppression or overhaul operations in</w:t>
      </w:r>
      <w:r w:rsidR="00722B71">
        <w:t>volving</w:t>
      </w:r>
      <w:r w:rsidR="00356D56">
        <w:t xml:space="preserve"> a</w:t>
      </w:r>
      <w:r w:rsidR="00722B71">
        <w:t>ny</w:t>
      </w:r>
      <w:r w:rsidR="00356D56">
        <w:t xml:space="preserve"> structure, vehicle, </w:t>
      </w:r>
      <w:r w:rsidR="00722B71">
        <w:t xml:space="preserve">or </w:t>
      </w:r>
      <w:r w:rsidR="00356D56">
        <w:t>enclosed area</w:t>
      </w:r>
      <w:r w:rsidR="00F72444">
        <w:t>.</w:t>
      </w:r>
    </w:p>
    <w:p w:rsidR="00F72444" w:rsidRDefault="00F72444" w:rsidP="00CD5EB2">
      <w:pPr>
        <w:numPr>
          <w:ilvl w:val="0"/>
          <w:numId w:val="6"/>
        </w:numPr>
        <w:tabs>
          <w:tab w:val="clear" w:pos="1080"/>
          <w:tab w:val="num" w:pos="720"/>
        </w:tabs>
        <w:spacing w:before="360"/>
        <w:ind w:left="720"/>
        <w:rPr>
          <w:b/>
          <w:spacing w:val="-2"/>
        </w:rPr>
      </w:pPr>
      <w:r>
        <w:rPr>
          <w:b/>
          <w:spacing w:val="-2"/>
        </w:rPr>
        <w:t>AIR MONITORING</w:t>
      </w:r>
    </w:p>
    <w:p w:rsidR="00430641" w:rsidRPr="00430641" w:rsidRDefault="00430641" w:rsidP="00430641">
      <w:pPr>
        <w:numPr>
          <w:ilvl w:val="0"/>
          <w:numId w:val="12"/>
        </w:numPr>
        <w:spacing w:before="120"/>
      </w:pPr>
      <w:r>
        <w:t>CO and HCN meter</w:t>
      </w:r>
      <w:r w:rsidR="006B71F5">
        <w:t>s</w:t>
      </w:r>
      <w:r>
        <w:t xml:space="preserve"> normally </w:t>
      </w:r>
      <w:r w:rsidR="00F5527E">
        <w:t xml:space="preserve">will </w:t>
      </w:r>
      <w:r>
        <w:t>be located on the first-du</w:t>
      </w:r>
      <w:r w:rsidR="004074F1">
        <w:t>e structural apparatus</w:t>
      </w:r>
      <w:r>
        <w:t>.  T</w:t>
      </w:r>
      <w:r w:rsidRPr="00430641">
        <w:t xml:space="preserve">he Incident Commander </w:t>
      </w:r>
      <w:r w:rsidR="003F2871">
        <w:t>(IC) is to request a unit with those</w:t>
      </w:r>
      <w:r w:rsidRPr="00430641">
        <w:t xml:space="preserve"> meter</w:t>
      </w:r>
      <w:r>
        <w:t>s</w:t>
      </w:r>
      <w:r w:rsidRPr="00430641">
        <w:t xml:space="preserve"> to respond </w:t>
      </w:r>
      <w:r>
        <w:t>i</w:t>
      </w:r>
      <w:r w:rsidRPr="00430641">
        <w:t xml:space="preserve">f </w:t>
      </w:r>
      <w:r>
        <w:t xml:space="preserve">no on-scene </w:t>
      </w:r>
      <w:r w:rsidRPr="00430641">
        <w:t>a</w:t>
      </w:r>
      <w:r>
        <w:t>pparatus</w:t>
      </w:r>
      <w:r w:rsidR="003F2871">
        <w:t xml:space="preserve"> is equipped with them.</w:t>
      </w:r>
    </w:p>
    <w:p w:rsidR="00F72444" w:rsidRPr="0086510A" w:rsidRDefault="00F5527E" w:rsidP="00F72444">
      <w:pPr>
        <w:numPr>
          <w:ilvl w:val="0"/>
          <w:numId w:val="12"/>
        </w:numPr>
        <w:spacing w:before="120"/>
      </w:pPr>
      <w:r>
        <w:t>Meters should be turned on at a location which is upwind or highly unlikely to be contaminated with CO or HCN and left at the command post to facilitate their usage by the IC, Safety Officer (S</w:t>
      </w:r>
      <w:r w:rsidR="008E16F0">
        <w:t>O)</w:t>
      </w:r>
      <w:r w:rsidR="008E16F0" w:rsidRPr="0086510A">
        <w:t>,</w:t>
      </w:r>
      <w:r w:rsidR="00431CE6" w:rsidRPr="0086510A">
        <w:t xml:space="preserve"> and/or other designated personnel</w:t>
      </w:r>
      <w:r w:rsidRPr="0086510A">
        <w:t>.</w:t>
      </w:r>
    </w:p>
    <w:p w:rsidR="00F5527E" w:rsidRPr="00F5527E" w:rsidRDefault="00F5527E" w:rsidP="00F5527E">
      <w:pPr>
        <w:numPr>
          <w:ilvl w:val="0"/>
          <w:numId w:val="12"/>
        </w:numPr>
        <w:spacing w:before="120"/>
      </w:pPr>
      <w:r>
        <w:t xml:space="preserve">Firefighters engaged in fire suppression or overhaul operations should not remove their SCBA </w:t>
      </w:r>
      <w:r w:rsidRPr="00F5527E">
        <w:t>until the atmosphere can be monitored</w:t>
      </w:r>
      <w:r>
        <w:t xml:space="preserve"> and deemed safe.</w:t>
      </w:r>
    </w:p>
    <w:p w:rsidR="00486553" w:rsidRPr="00486553" w:rsidRDefault="000B0732" w:rsidP="00486553">
      <w:pPr>
        <w:numPr>
          <w:ilvl w:val="0"/>
          <w:numId w:val="12"/>
        </w:numPr>
        <w:spacing w:before="120"/>
      </w:pPr>
      <w:r>
        <w:t>The following conditions should</w:t>
      </w:r>
      <w:r w:rsidR="00486553" w:rsidRPr="00486553">
        <w:t xml:space="preserve"> warrant air monitoring </w:t>
      </w:r>
      <w:r w:rsidR="00486553">
        <w:t>for CO and HCN:</w:t>
      </w:r>
    </w:p>
    <w:p w:rsidR="00486553" w:rsidRDefault="00AE79C1" w:rsidP="00486553">
      <w:pPr>
        <w:numPr>
          <w:ilvl w:val="0"/>
          <w:numId w:val="18"/>
        </w:numPr>
        <w:spacing w:before="120"/>
        <w:ind w:left="1440"/>
      </w:pPr>
      <w:r>
        <w:t>When</w:t>
      </w:r>
      <w:r w:rsidR="00486553" w:rsidRPr="00486553">
        <w:t xml:space="preserve"> </w:t>
      </w:r>
      <w:r w:rsidR="00AA5981">
        <w:t>active</w:t>
      </w:r>
      <w:r w:rsidR="00101B75">
        <w:t xml:space="preserve"> </w:t>
      </w:r>
      <w:r w:rsidR="00C51250">
        <w:t xml:space="preserve">fire suppression or ventilation operations </w:t>
      </w:r>
      <w:r w:rsidR="00225865">
        <w:t>are</w:t>
      </w:r>
      <w:r>
        <w:t xml:space="preserve"> complete</w:t>
      </w:r>
      <w:r w:rsidR="00486553" w:rsidRPr="00486553">
        <w:t xml:space="preserve"> and t</w:t>
      </w:r>
      <w:r w:rsidR="00486553">
        <w:t xml:space="preserve">he removal of SCBA is </w:t>
      </w:r>
      <w:r>
        <w:t>desir</w:t>
      </w:r>
      <w:r w:rsidR="00486553">
        <w:t>ed</w:t>
      </w:r>
      <w:r w:rsidR="006B71F5">
        <w:t>, such as</w:t>
      </w:r>
      <w:r>
        <w:t xml:space="preserve"> for overhaul operations, especially when smoke is </w:t>
      </w:r>
      <w:r w:rsidR="000B0732">
        <w:t xml:space="preserve">still </w:t>
      </w:r>
      <w:r>
        <w:t>present</w:t>
      </w:r>
      <w:r w:rsidR="00486553">
        <w:t>.</w:t>
      </w:r>
    </w:p>
    <w:p w:rsidR="00225865" w:rsidRPr="00486553" w:rsidRDefault="00225865" w:rsidP="00486553">
      <w:pPr>
        <w:numPr>
          <w:ilvl w:val="0"/>
          <w:numId w:val="18"/>
        </w:numPr>
        <w:spacing w:before="120"/>
        <w:ind w:left="1440"/>
      </w:pPr>
      <w:r>
        <w:t xml:space="preserve">When personnel in the support sector </w:t>
      </w:r>
      <w:r w:rsidR="000B0732">
        <w:t xml:space="preserve">(open air) </w:t>
      </w:r>
      <w:r>
        <w:t xml:space="preserve">are exposed to </w:t>
      </w:r>
      <w:r w:rsidR="00AA5981">
        <w:t>potentially unsafe</w:t>
      </w:r>
      <w:r>
        <w:t xml:space="preserve"> amounts of smoke during </w:t>
      </w:r>
      <w:r w:rsidR="00AA5981">
        <w:t>fire suppression or overhaul operations</w:t>
      </w:r>
      <w:r>
        <w:t>.</w:t>
      </w:r>
    </w:p>
    <w:p w:rsidR="00486553" w:rsidRPr="00486553" w:rsidRDefault="00486553" w:rsidP="00486553">
      <w:pPr>
        <w:numPr>
          <w:ilvl w:val="0"/>
          <w:numId w:val="18"/>
        </w:numPr>
        <w:spacing w:before="120"/>
        <w:ind w:left="1440"/>
      </w:pPr>
      <w:r>
        <w:t>When</w:t>
      </w:r>
      <w:r w:rsidRPr="00486553">
        <w:t xml:space="preserve"> personnel are found operating without </w:t>
      </w:r>
      <w:r w:rsidR="00F30B2B">
        <w:t xml:space="preserve">a </w:t>
      </w:r>
      <w:r w:rsidRPr="00486553">
        <w:t xml:space="preserve">SCBA </w:t>
      </w:r>
      <w:r>
        <w:t>and the atmo</w:t>
      </w:r>
      <w:r w:rsidR="00E72A8D">
        <w:t>sphere has not been monitored and deemed safe:</w:t>
      </w:r>
    </w:p>
    <w:p w:rsidR="00486553" w:rsidRPr="00486553" w:rsidRDefault="00486553" w:rsidP="00486553">
      <w:pPr>
        <w:numPr>
          <w:ilvl w:val="1"/>
          <w:numId w:val="18"/>
        </w:numPr>
        <w:spacing w:before="120"/>
        <w:ind w:left="1800"/>
      </w:pPr>
      <w:r>
        <w:t xml:space="preserve">The area where </w:t>
      </w:r>
      <w:r w:rsidR="00AA5981">
        <w:t xml:space="preserve">the </w:t>
      </w:r>
      <w:r>
        <w:t>personnel</w:t>
      </w:r>
      <w:r w:rsidR="00AA5981">
        <w:t xml:space="preserve"> were found</w:t>
      </w:r>
      <w:r w:rsidRPr="00486553">
        <w:t xml:space="preserve"> should be </w:t>
      </w:r>
      <w:r>
        <w:t>immediately monitored.</w:t>
      </w:r>
    </w:p>
    <w:p w:rsidR="00486553" w:rsidRPr="00486553" w:rsidRDefault="00486553" w:rsidP="00486553">
      <w:pPr>
        <w:numPr>
          <w:ilvl w:val="1"/>
          <w:numId w:val="18"/>
        </w:numPr>
        <w:spacing w:before="120"/>
        <w:ind w:left="1800"/>
      </w:pPr>
      <w:r w:rsidRPr="00486553">
        <w:t xml:space="preserve">The </w:t>
      </w:r>
      <w:r>
        <w:t xml:space="preserve">CO and </w:t>
      </w:r>
      <w:r w:rsidRPr="00486553">
        <w:t>HCN level</w:t>
      </w:r>
      <w:r>
        <w:t>s</w:t>
      </w:r>
      <w:r w:rsidRPr="00486553">
        <w:t xml:space="preserve"> </w:t>
      </w:r>
      <w:r>
        <w:t>should</w:t>
      </w:r>
      <w:r w:rsidRPr="00486553">
        <w:t xml:space="preserve"> be </w:t>
      </w:r>
      <w:r w:rsidR="00F30B2B">
        <w:t xml:space="preserve">promptly </w:t>
      </w:r>
      <w:r w:rsidRPr="00486553">
        <w:t>communicated to the IC</w:t>
      </w:r>
      <w:r w:rsidR="00AA5981">
        <w:t xml:space="preserve"> or SO</w:t>
      </w:r>
      <w:r>
        <w:t>, and</w:t>
      </w:r>
      <w:r w:rsidRPr="00486553">
        <w:t xml:space="preserve"> the personne</w:t>
      </w:r>
      <w:r w:rsidR="00AA5981">
        <w:t>l who were found</w:t>
      </w:r>
      <w:r w:rsidRPr="00486553">
        <w:t xml:space="preserve"> in the area </w:t>
      </w:r>
      <w:r>
        <w:t xml:space="preserve">should </w:t>
      </w:r>
      <w:r w:rsidR="00AA5981">
        <w:t>be relieved of their assignment, go through rehabilitation as necessary, then r</w:t>
      </w:r>
      <w:r>
        <w:t xml:space="preserve">eport </w:t>
      </w:r>
      <w:r w:rsidR="00AE79C1">
        <w:t xml:space="preserve">directly </w:t>
      </w:r>
      <w:r>
        <w:t>to the IC.</w:t>
      </w:r>
    </w:p>
    <w:p w:rsidR="00486553" w:rsidRDefault="00486553" w:rsidP="00486553">
      <w:pPr>
        <w:numPr>
          <w:ilvl w:val="1"/>
          <w:numId w:val="18"/>
        </w:numPr>
        <w:spacing w:before="120"/>
        <w:ind w:left="1800"/>
      </w:pPr>
      <w:r>
        <w:t xml:space="preserve">The IC </w:t>
      </w:r>
      <w:r w:rsidR="00BD6581">
        <w:t xml:space="preserve">and/or SO </w:t>
      </w:r>
      <w:r>
        <w:t>must</w:t>
      </w:r>
      <w:r w:rsidR="00F30B2B">
        <w:t xml:space="preserve"> determine the </w:t>
      </w:r>
      <w:r w:rsidR="00E72A8D">
        <w:t>potential</w:t>
      </w:r>
      <w:r w:rsidRPr="00486553">
        <w:t xml:space="preserve"> </w:t>
      </w:r>
      <w:r>
        <w:t>expos</w:t>
      </w:r>
      <w:r w:rsidR="00E72A8D">
        <w:t>ur</w:t>
      </w:r>
      <w:r>
        <w:t xml:space="preserve">e </w:t>
      </w:r>
      <w:r w:rsidR="00436483">
        <w:t xml:space="preserve">of </w:t>
      </w:r>
      <w:r w:rsidR="00436483" w:rsidRPr="00486553">
        <w:t>e</w:t>
      </w:r>
      <w:r w:rsidR="00436483">
        <w:t>ach person</w:t>
      </w:r>
      <w:r w:rsidR="00436483" w:rsidRPr="00486553">
        <w:t xml:space="preserve"> </w:t>
      </w:r>
      <w:r>
        <w:t>to the reported CO and</w:t>
      </w:r>
      <w:r w:rsidR="00F30B2B">
        <w:t>/or</w:t>
      </w:r>
      <w:r>
        <w:t xml:space="preserve"> HCN levels.</w:t>
      </w:r>
      <w:r w:rsidR="00E72A8D">
        <w:t xml:space="preserve">  </w:t>
      </w:r>
      <w:r w:rsidRPr="00486553">
        <w:t xml:space="preserve">If </w:t>
      </w:r>
      <w:r w:rsidR="00E72A8D">
        <w:t>the exposure</w:t>
      </w:r>
      <w:r w:rsidRPr="00486553">
        <w:t xml:space="preserve"> </w:t>
      </w:r>
      <w:r w:rsidR="00E72A8D">
        <w:t xml:space="preserve">is determined to be potentially dangerous, or if there are </w:t>
      </w:r>
      <w:r w:rsidRPr="00486553">
        <w:t xml:space="preserve">signs </w:t>
      </w:r>
      <w:r w:rsidR="00E72A8D">
        <w:t xml:space="preserve">or symptoms </w:t>
      </w:r>
      <w:r w:rsidRPr="00486553">
        <w:t xml:space="preserve">of </w:t>
      </w:r>
      <w:r w:rsidR="00E72A8D">
        <w:t>potentially dangerous exposure,</w:t>
      </w:r>
      <w:r w:rsidRPr="00486553">
        <w:t xml:space="preserve"> the pe</w:t>
      </w:r>
      <w:r w:rsidR="00320C1A">
        <w:t>rsonnel are to be</w:t>
      </w:r>
      <w:r w:rsidR="00E72A8D">
        <w:t xml:space="preserve"> </w:t>
      </w:r>
      <w:r w:rsidR="00320C1A">
        <w:t xml:space="preserve">promptly </w:t>
      </w:r>
      <w:r w:rsidRPr="00486553">
        <w:t xml:space="preserve">transported to </w:t>
      </w:r>
      <w:r w:rsidR="00320C1A">
        <w:t>a</w:t>
      </w:r>
      <w:r w:rsidR="00BD6581">
        <w:t xml:space="preserve"> hospital for </w:t>
      </w:r>
      <w:r w:rsidR="00E72A8D">
        <w:t>medical evaluation and treatment as necessary.</w:t>
      </w:r>
      <w:r w:rsidR="00BD6581">
        <w:t xml:space="preserve">  D</w:t>
      </w:r>
      <w:r w:rsidR="00C9034A">
        <w:t>o not delay this evaluation</w:t>
      </w:r>
      <w:r w:rsidR="00BD6581">
        <w:t xml:space="preserve"> due to the 1-hour </w:t>
      </w:r>
      <w:r w:rsidR="00436483">
        <w:t xml:space="preserve">metabolic </w:t>
      </w:r>
      <w:r w:rsidR="00BD6581">
        <w:t>half-life of HCN</w:t>
      </w:r>
      <w:r w:rsidR="00C9034A">
        <w:t>.</w:t>
      </w:r>
    </w:p>
    <w:p w:rsidR="00835783" w:rsidRPr="00835783" w:rsidRDefault="00835783" w:rsidP="00835783">
      <w:pPr>
        <w:numPr>
          <w:ilvl w:val="2"/>
          <w:numId w:val="18"/>
        </w:numPr>
        <w:spacing w:before="120"/>
        <w:ind w:left="2250" w:hanging="270"/>
        <w:rPr>
          <w:szCs w:val="24"/>
        </w:rPr>
      </w:pPr>
      <w:r w:rsidRPr="00835783">
        <w:rPr>
          <w:rFonts w:eastAsiaTheme="minorHAnsi"/>
          <w:szCs w:val="24"/>
        </w:rPr>
        <w:t>Symptomatic personnel should receive medical observat</w:t>
      </w:r>
      <w:r>
        <w:rPr>
          <w:rFonts w:eastAsiaTheme="minorHAnsi"/>
          <w:szCs w:val="24"/>
        </w:rPr>
        <w:t>ion for at least 4 to 6 hours. [</w:t>
      </w:r>
      <w:r w:rsidRPr="00835783">
        <w:rPr>
          <w:rFonts w:eastAsiaTheme="minorHAnsi"/>
          <w:i/>
          <w:iCs/>
          <w:szCs w:val="24"/>
        </w:rPr>
        <w:t>ATSDR</w:t>
      </w:r>
      <w:r>
        <w:rPr>
          <w:rFonts w:eastAsiaTheme="minorHAnsi"/>
          <w:i/>
          <w:iCs/>
          <w:szCs w:val="24"/>
        </w:rPr>
        <w:t>]</w:t>
      </w:r>
    </w:p>
    <w:p w:rsidR="00835783" w:rsidRPr="00835783" w:rsidRDefault="00835783" w:rsidP="00835783">
      <w:pPr>
        <w:numPr>
          <w:ilvl w:val="2"/>
          <w:numId w:val="18"/>
        </w:numPr>
        <w:spacing w:before="120"/>
        <w:ind w:left="2250" w:hanging="270"/>
        <w:rPr>
          <w:szCs w:val="24"/>
        </w:rPr>
      </w:pPr>
      <w:r w:rsidRPr="00835783">
        <w:rPr>
          <w:rFonts w:eastAsiaTheme="minorHAnsi"/>
          <w:szCs w:val="24"/>
        </w:rPr>
        <w:t xml:space="preserve">An acceptable blood cyanide level would </w:t>
      </w:r>
      <w:r>
        <w:rPr>
          <w:rFonts w:eastAsiaTheme="minorHAnsi"/>
          <w:szCs w:val="24"/>
        </w:rPr>
        <w:t xml:space="preserve">be 20 micrograms per </w:t>
      </w:r>
      <w:proofErr w:type="spellStart"/>
      <w:r>
        <w:rPr>
          <w:rFonts w:eastAsiaTheme="minorHAnsi"/>
          <w:szCs w:val="24"/>
        </w:rPr>
        <w:t>decaliter</w:t>
      </w:r>
      <w:proofErr w:type="spellEnd"/>
      <w:r>
        <w:rPr>
          <w:rFonts w:eastAsiaTheme="minorHAnsi"/>
          <w:szCs w:val="24"/>
        </w:rPr>
        <w:t xml:space="preserve"> [</w:t>
      </w:r>
      <w:proofErr w:type="spellStart"/>
      <w:r w:rsidRPr="00835783">
        <w:rPr>
          <w:rFonts w:eastAsiaTheme="minorHAnsi"/>
          <w:i/>
          <w:iCs/>
          <w:szCs w:val="24"/>
        </w:rPr>
        <w:t>Varone</w:t>
      </w:r>
      <w:proofErr w:type="spellEnd"/>
      <w:r w:rsidRPr="00835783">
        <w:rPr>
          <w:rFonts w:eastAsiaTheme="minorHAnsi"/>
          <w:i/>
          <w:iCs/>
          <w:szCs w:val="24"/>
        </w:rPr>
        <w:t xml:space="preserve"> et al.</w:t>
      </w:r>
      <w:r>
        <w:rPr>
          <w:rFonts w:eastAsiaTheme="minorHAnsi"/>
          <w:i/>
          <w:iCs/>
          <w:szCs w:val="24"/>
        </w:rPr>
        <w:t>]</w:t>
      </w:r>
      <w:r w:rsidRPr="00835783">
        <w:rPr>
          <w:rFonts w:eastAsiaTheme="minorHAnsi"/>
          <w:szCs w:val="24"/>
        </w:rPr>
        <w:t>, beyond which a</w:t>
      </w:r>
      <w:r>
        <w:rPr>
          <w:rFonts w:eastAsiaTheme="minorHAnsi"/>
          <w:szCs w:val="24"/>
        </w:rPr>
        <w:t>ppropriate medical treatment should</w:t>
      </w:r>
      <w:r w:rsidRPr="00835783">
        <w:rPr>
          <w:rFonts w:eastAsiaTheme="minorHAnsi"/>
          <w:szCs w:val="24"/>
        </w:rPr>
        <w:t xml:space="preserve"> be immediately provided.</w:t>
      </w:r>
    </w:p>
    <w:p w:rsidR="00835783" w:rsidRPr="00835783" w:rsidRDefault="00835783" w:rsidP="00835783">
      <w:pPr>
        <w:numPr>
          <w:ilvl w:val="2"/>
          <w:numId w:val="18"/>
        </w:numPr>
        <w:spacing w:before="120"/>
        <w:ind w:left="2250" w:hanging="270"/>
        <w:rPr>
          <w:szCs w:val="24"/>
        </w:rPr>
      </w:pPr>
      <w:r>
        <w:rPr>
          <w:rFonts w:eastAsiaTheme="minorHAnsi"/>
          <w:szCs w:val="24"/>
        </w:rPr>
        <w:t>T</w:t>
      </w:r>
      <w:r w:rsidRPr="00835783">
        <w:rPr>
          <w:rFonts w:eastAsiaTheme="minorHAnsi"/>
          <w:szCs w:val="24"/>
        </w:rPr>
        <w:t xml:space="preserve">reatment for carbon monoxide inhalation can revive the patient, however, without a cyanide antidote kit, the lasting effects of hydrogen cyanide poisoning can create </w:t>
      </w:r>
      <w:r>
        <w:rPr>
          <w:rFonts w:eastAsiaTheme="minorHAnsi"/>
          <w:szCs w:val="24"/>
        </w:rPr>
        <w:t>enduring medical complications. [</w:t>
      </w:r>
      <w:r w:rsidRPr="00835783">
        <w:rPr>
          <w:rFonts w:eastAsiaTheme="minorHAnsi"/>
          <w:i/>
          <w:iCs/>
          <w:szCs w:val="24"/>
        </w:rPr>
        <w:t>Rochford</w:t>
      </w:r>
      <w:r>
        <w:rPr>
          <w:rFonts w:eastAsiaTheme="minorHAnsi"/>
          <w:szCs w:val="24"/>
        </w:rPr>
        <w:t>]</w:t>
      </w:r>
    </w:p>
    <w:p w:rsidR="00F30B2B" w:rsidRPr="00486553" w:rsidRDefault="00F30B2B" w:rsidP="00486553">
      <w:pPr>
        <w:numPr>
          <w:ilvl w:val="1"/>
          <w:numId w:val="18"/>
        </w:numPr>
        <w:spacing w:before="120"/>
        <w:ind w:left="1800"/>
      </w:pPr>
      <w:r>
        <w:t>Disciplinary action may be warranted.</w:t>
      </w:r>
    </w:p>
    <w:p w:rsidR="00E72A8D" w:rsidRPr="00E72A8D" w:rsidRDefault="00436483" w:rsidP="00E72A8D">
      <w:pPr>
        <w:numPr>
          <w:ilvl w:val="0"/>
          <w:numId w:val="18"/>
        </w:numPr>
        <w:spacing w:before="120"/>
        <w:ind w:left="1440"/>
      </w:pPr>
      <w:r>
        <w:lastRenderedPageBreak/>
        <w:t>Where</w:t>
      </w:r>
      <w:r w:rsidR="00E72A8D">
        <w:t xml:space="preserve"> smoke is reported in a</w:t>
      </w:r>
      <w:r w:rsidR="00E72A8D" w:rsidRPr="00E72A8D">
        <w:t xml:space="preserve">djacent </w:t>
      </w:r>
      <w:r w:rsidR="00E72A8D">
        <w:t>structures or spaces (apartments, suites, etc.).</w:t>
      </w:r>
    </w:p>
    <w:p w:rsidR="00F5527E" w:rsidRPr="00F72444" w:rsidRDefault="00E72A8D" w:rsidP="00E72A8D">
      <w:pPr>
        <w:numPr>
          <w:ilvl w:val="0"/>
          <w:numId w:val="18"/>
        </w:numPr>
        <w:spacing w:before="120"/>
        <w:ind w:left="1440"/>
      </w:pPr>
      <w:r w:rsidRPr="00E72A8D">
        <w:t xml:space="preserve">Whenever deemed necessary by the IC </w:t>
      </w:r>
      <w:r>
        <w:t>or SO.</w:t>
      </w:r>
    </w:p>
    <w:p w:rsidR="00225865" w:rsidRDefault="00225865" w:rsidP="00225865">
      <w:pPr>
        <w:numPr>
          <w:ilvl w:val="0"/>
          <w:numId w:val="12"/>
        </w:numPr>
        <w:spacing w:before="120"/>
      </w:pPr>
      <w:r>
        <w:t xml:space="preserve">The following </w:t>
      </w:r>
      <w:r w:rsidRPr="00486553">
        <w:t>conditions</w:t>
      </w:r>
      <w:r>
        <w:t xml:space="preserve"> </w:t>
      </w:r>
      <w:r w:rsidR="009A4847">
        <w:t>typically</w:t>
      </w:r>
      <w:r w:rsidRPr="00486553">
        <w:t xml:space="preserve"> </w:t>
      </w:r>
      <w:r w:rsidRPr="00125B60">
        <w:t>will not</w:t>
      </w:r>
      <w:r>
        <w:t xml:space="preserve"> </w:t>
      </w:r>
      <w:r w:rsidRPr="00486553">
        <w:t xml:space="preserve">warrant air monitoring </w:t>
      </w:r>
      <w:r>
        <w:t>for CO and HCN:</w:t>
      </w:r>
    </w:p>
    <w:p w:rsidR="00225865" w:rsidRDefault="00885B6E" w:rsidP="00225865">
      <w:pPr>
        <w:numPr>
          <w:ilvl w:val="0"/>
          <w:numId w:val="19"/>
        </w:numPr>
        <w:spacing w:before="120"/>
        <w:ind w:left="1440"/>
      </w:pPr>
      <w:r>
        <w:t>During</w:t>
      </w:r>
      <w:r w:rsidR="00225865">
        <w:t xml:space="preserve"> active fire suppression </w:t>
      </w:r>
      <w:r>
        <w:t>or ventilation operations in</w:t>
      </w:r>
      <w:r w:rsidR="00125B60">
        <w:t>volving</w:t>
      </w:r>
      <w:r>
        <w:t xml:space="preserve"> a</w:t>
      </w:r>
      <w:r w:rsidR="00101B75">
        <w:t xml:space="preserve"> structure</w:t>
      </w:r>
      <w:r w:rsidR="00125B60">
        <w:t xml:space="preserve"> or vehicle</w:t>
      </w:r>
      <w:r w:rsidR="00FD17DB">
        <w:t xml:space="preserve"> when</w:t>
      </w:r>
      <w:r w:rsidR="00225865">
        <w:t xml:space="preserve"> </w:t>
      </w:r>
      <w:r w:rsidR="00FD17DB">
        <w:t xml:space="preserve">a </w:t>
      </w:r>
      <w:r w:rsidR="00225865">
        <w:t>SCBA</w:t>
      </w:r>
      <w:r>
        <w:t xml:space="preserve"> </w:t>
      </w:r>
      <w:r w:rsidR="00420A13">
        <w:t xml:space="preserve">and turnout gear </w:t>
      </w:r>
      <w:r w:rsidR="00FD17DB">
        <w:t>are</w:t>
      </w:r>
      <w:r>
        <w:t xml:space="preserve"> </w:t>
      </w:r>
      <w:r w:rsidR="00FD17DB">
        <w:t>being worn</w:t>
      </w:r>
      <w:r>
        <w:t>.</w:t>
      </w:r>
    </w:p>
    <w:p w:rsidR="00885B6E" w:rsidRDefault="009A4847" w:rsidP="00225865">
      <w:pPr>
        <w:numPr>
          <w:ilvl w:val="0"/>
          <w:numId w:val="19"/>
        </w:numPr>
        <w:spacing w:before="120"/>
        <w:ind w:left="1440"/>
      </w:pPr>
      <w:r>
        <w:t>During active fire suppression operations involving a non-enclosed area, su</w:t>
      </w:r>
      <w:r w:rsidR="001E2781">
        <w:t xml:space="preserve">ch as a field or </w:t>
      </w:r>
      <w:r>
        <w:t>brush fire, unless otherwise requested by the IC or SO.</w:t>
      </w:r>
    </w:p>
    <w:p w:rsidR="009A4847" w:rsidRDefault="009A4847" w:rsidP="009A4847">
      <w:pPr>
        <w:numPr>
          <w:ilvl w:val="0"/>
          <w:numId w:val="19"/>
        </w:numPr>
        <w:spacing w:before="120"/>
        <w:ind w:left="1440"/>
      </w:pPr>
      <w:r w:rsidRPr="009A4847">
        <w:t>When a burning odor is detected and there is no visible smoke</w:t>
      </w:r>
      <w:r>
        <w:t>,</w:t>
      </w:r>
      <w:r w:rsidRPr="009A4847">
        <w:t xml:space="preserve"> </w:t>
      </w:r>
      <w:r>
        <w:t>i.</w:t>
      </w:r>
      <w:r w:rsidRPr="009A4847">
        <w:t>e.</w:t>
      </w:r>
      <w:r>
        <w:t xml:space="preserve"> light ballast.</w:t>
      </w:r>
    </w:p>
    <w:p w:rsidR="00EC0E6B" w:rsidRPr="00CD5EB2" w:rsidRDefault="00EC0E6B" w:rsidP="00CD5EB2">
      <w:pPr>
        <w:numPr>
          <w:ilvl w:val="0"/>
          <w:numId w:val="6"/>
        </w:numPr>
        <w:tabs>
          <w:tab w:val="clear" w:pos="1080"/>
          <w:tab w:val="num" w:pos="720"/>
        </w:tabs>
        <w:spacing w:before="360"/>
        <w:ind w:left="720"/>
        <w:rPr>
          <w:b/>
          <w:spacing w:val="-2"/>
        </w:rPr>
      </w:pPr>
      <w:r w:rsidRPr="00CD5EB2">
        <w:rPr>
          <w:b/>
          <w:spacing w:val="-2"/>
        </w:rPr>
        <w:t>ACTION LEVELS</w:t>
      </w:r>
    </w:p>
    <w:p w:rsidR="00EC0E6B" w:rsidRDefault="00EC0E6B" w:rsidP="00EC0E6B">
      <w:pPr>
        <w:numPr>
          <w:ilvl w:val="0"/>
          <w:numId w:val="20"/>
        </w:numPr>
        <w:spacing w:before="120"/>
      </w:pPr>
      <w:r>
        <w:t>CO</w:t>
      </w:r>
    </w:p>
    <w:p w:rsidR="00EC0E6B" w:rsidRPr="0086510A" w:rsidRDefault="006B71F5" w:rsidP="00EC0E6B">
      <w:pPr>
        <w:numPr>
          <w:ilvl w:val="0"/>
          <w:numId w:val="21"/>
        </w:numPr>
        <w:spacing w:before="120"/>
        <w:ind w:left="1440"/>
      </w:pPr>
      <w:r>
        <w:t>Thirty-</w:t>
      </w:r>
      <w:r w:rsidR="00BF6C71" w:rsidRPr="0086510A">
        <w:t>five (</w:t>
      </w:r>
      <w:r w:rsidR="00171E1F" w:rsidRPr="0086510A">
        <w:t>35</w:t>
      </w:r>
      <w:r w:rsidR="00BF6C71" w:rsidRPr="0086510A">
        <w:t>)</w:t>
      </w:r>
      <w:r w:rsidR="00171E1F" w:rsidRPr="0086510A">
        <w:t xml:space="preserve"> parts per million (ppm)</w:t>
      </w:r>
      <w:r w:rsidR="00EC0E6B" w:rsidRPr="0086510A">
        <w:t xml:space="preserve"> in air</w:t>
      </w:r>
      <w:r w:rsidR="00171E1F" w:rsidRPr="0086510A">
        <w:t xml:space="preserve">, which is </w:t>
      </w:r>
      <w:r w:rsidR="00EC0E6B" w:rsidRPr="0086510A">
        <w:t>the recommended exposure limit (REL) for an 8-hour time-weighted average (TWA) exposure</w:t>
      </w:r>
      <w:r w:rsidR="00FE48EE">
        <w:t xml:space="preserve"> [</w:t>
      </w:r>
      <w:r w:rsidR="00FE48EE">
        <w:rPr>
          <w:i/>
        </w:rPr>
        <w:t>NIOSH</w:t>
      </w:r>
      <w:r w:rsidR="00FE48EE">
        <w:t>]</w:t>
      </w:r>
      <w:r w:rsidR="00EC0E6B" w:rsidRPr="0086510A">
        <w:t xml:space="preserve">, </w:t>
      </w:r>
      <w:r w:rsidR="00BF6C71" w:rsidRPr="0086510A">
        <w:t>or greater</w:t>
      </w:r>
      <w:r w:rsidR="00171E1F" w:rsidRPr="0086510A">
        <w:t xml:space="preserve"> </w:t>
      </w:r>
      <w:r w:rsidR="00EC0E6B" w:rsidRPr="0086510A">
        <w:t xml:space="preserve">should be the </w:t>
      </w:r>
      <w:r w:rsidR="008022A1" w:rsidRPr="00FD17DB">
        <w:t>Action Level</w:t>
      </w:r>
      <w:r>
        <w:t xml:space="preserve"> for which use of</w:t>
      </w:r>
      <w:r w:rsidR="00EC0E6B" w:rsidRPr="0086510A">
        <w:t xml:space="preserve"> </w:t>
      </w:r>
      <w:r>
        <w:t xml:space="preserve">a </w:t>
      </w:r>
      <w:r w:rsidR="00EC0E6B" w:rsidRPr="0086510A">
        <w:t>SCBA</w:t>
      </w:r>
      <w:r w:rsidR="009007AC">
        <w:t xml:space="preserve"> </w:t>
      </w:r>
      <w:r>
        <w:t>is required</w:t>
      </w:r>
      <w:r w:rsidR="00EC0E6B" w:rsidRPr="0086510A">
        <w:t>.</w:t>
      </w:r>
    </w:p>
    <w:p w:rsidR="00EC0E6B" w:rsidRPr="0086510A" w:rsidRDefault="00BF6C71" w:rsidP="00EC0E6B">
      <w:pPr>
        <w:numPr>
          <w:ilvl w:val="0"/>
          <w:numId w:val="21"/>
        </w:numPr>
        <w:spacing w:before="120"/>
        <w:ind w:left="1440"/>
      </w:pPr>
      <w:r w:rsidRPr="0086510A">
        <w:t>Two hundred (</w:t>
      </w:r>
      <w:r w:rsidR="00EC0E6B" w:rsidRPr="0086510A">
        <w:t>200</w:t>
      </w:r>
      <w:r w:rsidRPr="0086510A">
        <w:t>)</w:t>
      </w:r>
      <w:r w:rsidR="00EC0E6B" w:rsidRPr="0086510A">
        <w:t xml:space="preserve"> ppm</w:t>
      </w:r>
      <w:r w:rsidR="00FE48EE">
        <w:t>, which</w:t>
      </w:r>
      <w:r w:rsidR="00431CE6" w:rsidRPr="0086510A">
        <w:t xml:space="preserve"> is the ceiling limit</w:t>
      </w:r>
      <w:r w:rsidR="00FE48EE">
        <w:t xml:space="preserve"> [</w:t>
      </w:r>
      <w:r w:rsidR="00FE48EE">
        <w:rPr>
          <w:i/>
        </w:rPr>
        <w:t>NIOSH</w:t>
      </w:r>
      <w:r w:rsidR="00FE48EE">
        <w:t xml:space="preserve">], </w:t>
      </w:r>
      <w:r w:rsidR="00EC0E6B" w:rsidRPr="0086510A">
        <w:t>should never be exceeded.</w:t>
      </w:r>
    </w:p>
    <w:p w:rsidR="00EC0E6B" w:rsidRPr="0086510A" w:rsidRDefault="00BF6C71" w:rsidP="00EC0E6B">
      <w:pPr>
        <w:numPr>
          <w:ilvl w:val="0"/>
          <w:numId w:val="21"/>
        </w:numPr>
        <w:spacing w:before="120"/>
        <w:ind w:left="1440"/>
      </w:pPr>
      <w:r w:rsidRPr="0086510A">
        <w:t>One thousand two hundred (</w:t>
      </w:r>
      <w:r w:rsidR="00EC0E6B" w:rsidRPr="0086510A">
        <w:t>1,200</w:t>
      </w:r>
      <w:r w:rsidRPr="0086510A">
        <w:t>)</w:t>
      </w:r>
      <w:r w:rsidR="00FE48EE">
        <w:t xml:space="preserve"> ppm is an </w:t>
      </w:r>
      <w:r w:rsidR="00EC0E6B" w:rsidRPr="0086510A">
        <w:t>immediately dangerous to life and health (IDLH) concentration</w:t>
      </w:r>
      <w:r w:rsidR="00FE48EE">
        <w:t xml:space="preserve"> [</w:t>
      </w:r>
      <w:r w:rsidR="00FE48EE">
        <w:rPr>
          <w:i/>
        </w:rPr>
        <w:t>NIOSH</w:t>
      </w:r>
      <w:r w:rsidR="00FE48EE">
        <w:t>]</w:t>
      </w:r>
      <w:r w:rsidR="00EC0E6B" w:rsidRPr="0086510A">
        <w:t>.</w:t>
      </w:r>
    </w:p>
    <w:p w:rsidR="00EC0E6B" w:rsidRPr="0086510A" w:rsidRDefault="00EC0E6B" w:rsidP="00EC0E6B">
      <w:pPr>
        <w:numPr>
          <w:ilvl w:val="0"/>
          <w:numId w:val="20"/>
        </w:numPr>
        <w:spacing w:before="120"/>
      </w:pPr>
      <w:r w:rsidRPr="0086510A">
        <w:t>HCN</w:t>
      </w:r>
    </w:p>
    <w:p w:rsidR="003B4496" w:rsidRPr="0086510A" w:rsidRDefault="00BF6C71" w:rsidP="003B4496">
      <w:pPr>
        <w:numPr>
          <w:ilvl w:val="0"/>
          <w:numId w:val="22"/>
        </w:numPr>
        <w:spacing w:before="120"/>
        <w:ind w:left="1440"/>
      </w:pPr>
      <w:r w:rsidRPr="0086510A">
        <w:t>Five (5)</w:t>
      </w:r>
      <w:r w:rsidR="00FE48EE">
        <w:t xml:space="preserve"> ppm in air, which is the </w:t>
      </w:r>
      <w:r w:rsidR="00171E1F" w:rsidRPr="0086510A">
        <w:t>REL for a short-te</w:t>
      </w:r>
      <w:r w:rsidR="00817339" w:rsidRPr="0086510A">
        <w:t xml:space="preserve">rm (15-minute) </w:t>
      </w:r>
      <w:r w:rsidRPr="0086510A">
        <w:t xml:space="preserve">TWA </w:t>
      </w:r>
      <w:r w:rsidR="00817339" w:rsidRPr="0086510A">
        <w:t>exposure</w:t>
      </w:r>
      <w:r w:rsidR="00FE48EE">
        <w:t xml:space="preserve"> limit [</w:t>
      </w:r>
      <w:r w:rsidR="00FE48EE">
        <w:rPr>
          <w:i/>
        </w:rPr>
        <w:t>NIOSH</w:t>
      </w:r>
      <w:r w:rsidR="00FE48EE">
        <w:t>]</w:t>
      </w:r>
      <w:r w:rsidR="00817339" w:rsidRPr="0086510A">
        <w:t xml:space="preserve">, or </w:t>
      </w:r>
      <w:r w:rsidRPr="0086510A">
        <w:t xml:space="preserve">greater </w:t>
      </w:r>
      <w:r w:rsidR="00171E1F" w:rsidRPr="0086510A">
        <w:t xml:space="preserve">should be the </w:t>
      </w:r>
      <w:r w:rsidR="008022A1" w:rsidRPr="00FD17DB">
        <w:t>Action Level</w:t>
      </w:r>
      <w:r w:rsidRPr="0086510A">
        <w:t xml:space="preserve"> </w:t>
      </w:r>
      <w:r w:rsidR="009007AC">
        <w:t>for which use of</w:t>
      </w:r>
      <w:r w:rsidR="009007AC" w:rsidRPr="0086510A">
        <w:t xml:space="preserve"> </w:t>
      </w:r>
      <w:r w:rsidR="009007AC">
        <w:t xml:space="preserve">a </w:t>
      </w:r>
      <w:r w:rsidR="009007AC" w:rsidRPr="0086510A">
        <w:t>SCBA</w:t>
      </w:r>
      <w:r w:rsidR="009007AC">
        <w:t xml:space="preserve"> and turnout gear is required</w:t>
      </w:r>
      <w:r w:rsidR="009007AC" w:rsidRPr="0086510A">
        <w:t>.</w:t>
      </w:r>
    </w:p>
    <w:p w:rsidR="00171E1F" w:rsidRPr="0086510A" w:rsidRDefault="00BF6C71" w:rsidP="003B4496">
      <w:pPr>
        <w:numPr>
          <w:ilvl w:val="0"/>
          <w:numId w:val="22"/>
        </w:numPr>
        <w:spacing w:before="120"/>
        <w:ind w:left="1440"/>
      </w:pPr>
      <w:r w:rsidRPr="0086510A">
        <w:t>Fifty (</w:t>
      </w:r>
      <w:r w:rsidR="00171E1F" w:rsidRPr="0086510A">
        <w:t>50</w:t>
      </w:r>
      <w:r w:rsidRPr="0086510A">
        <w:t>)</w:t>
      </w:r>
      <w:r w:rsidR="00FE48EE">
        <w:t xml:space="preserve"> ppm is the</w:t>
      </w:r>
      <w:r w:rsidR="00171E1F" w:rsidRPr="0086510A">
        <w:t xml:space="preserve"> IDLH concentration</w:t>
      </w:r>
      <w:r w:rsidR="00FE48EE">
        <w:t xml:space="preserve"> [</w:t>
      </w:r>
      <w:r w:rsidR="00FE48EE">
        <w:rPr>
          <w:i/>
        </w:rPr>
        <w:t>NIOSH</w:t>
      </w:r>
      <w:r w:rsidR="00FE48EE">
        <w:t>]</w:t>
      </w:r>
      <w:r w:rsidR="00171E1F" w:rsidRPr="0086510A">
        <w:t>.</w:t>
      </w:r>
    </w:p>
    <w:p w:rsidR="00171E1F" w:rsidRDefault="005807CC" w:rsidP="003B4496">
      <w:pPr>
        <w:numPr>
          <w:ilvl w:val="0"/>
          <w:numId w:val="22"/>
        </w:numPr>
        <w:spacing w:before="120"/>
        <w:ind w:left="1440"/>
      </w:pPr>
      <w:r>
        <w:t>This chemical has a “</w:t>
      </w:r>
      <w:r w:rsidR="00256F6D">
        <w:t>skin</w:t>
      </w:r>
      <w:r>
        <w:t xml:space="preserve">” designation from NIOSH and </w:t>
      </w:r>
      <w:r w:rsidR="004F2C6D">
        <w:t>other agencies</w:t>
      </w:r>
      <w:r>
        <w:t>, meaning it can be absorbed through the skin and eyes</w:t>
      </w:r>
      <w:r w:rsidR="009007AC">
        <w:t xml:space="preserve">; </w:t>
      </w:r>
      <w:r w:rsidR="004F2C6D">
        <w:t>inhalation</w:t>
      </w:r>
      <w:r w:rsidR="009007AC">
        <w:t xml:space="preserve"> is not the only route of exposure</w:t>
      </w:r>
      <w:r>
        <w:t>.</w:t>
      </w:r>
    </w:p>
    <w:p w:rsidR="00E47DF0" w:rsidRPr="00CD5EB2" w:rsidRDefault="00E47DF0" w:rsidP="00CD5EB2">
      <w:pPr>
        <w:numPr>
          <w:ilvl w:val="0"/>
          <w:numId w:val="6"/>
        </w:numPr>
        <w:tabs>
          <w:tab w:val="clear" w:pos="1080"/>
          <w:tab w:val="num" w:pos="720"/>
        </w:tabs>
        <w:spacing w:before="360"/>
        <w:ind w:left="720"/>
        <w:rPr>
          <w:b/>
          <w:spacing w:val="-2"/>
        </w:rPr>
      </w:pPr>
      <w:r w:rsidRPr="00CD5EB2">
        <w:rPr>
          <w:b/>
          <w:spacing w:val="-2"/>
        </w:rPr>
        <w:t>SIGNS AND SYMPTOMS</w:t>
      </w:r>
      <w:r w:rsidR="00B23F06" w:rsidRPr="00CD5EB2">
        <w:rPr>
          <w:b/>
          <w:spacing w:val="-2"/>
        </w:rPr>
        <w:t xml:space="preserve"> OF EXPOSURE</w:t>
      </w:r>
    </w:p>
    <w:p w:rsidR="00E47DF0" w:rsidRDefault="00E47DF0" w:rsidP="00E47DF0">
      <w:pPr>
        <w:numPr>
          <w:ilvl w:val="0"/>
          <w:numId w:val="23"/>
        </w:numPr>
        <w:spacing w:before="120"/>
      </w:pPr>
      <w:r>
        <w:t>CO</w:t>
      </w:r>
    </w:p>
    <w:p w:rsidR="00E47DF0" w:rsidRDefault="00390B62" w:rsidP="00390B62">
      <w:pPr>
        <w:numPr>
          <w:ilvl w:val="0"/>
          <w:numId w:val="24"/>
        </w:numPr>
        <w:spacing w:before="120"/>
        <w:ind w:left="1440"/>
        <w:rPr>
          <w:szCs w:val="24"/>
        </w:rPr>
      </w:pPr>
      <w:r w:rsidRPr="00390B62">
        <w:rPr>
          <w:szCs w:val="24"/>
        </w:rPr>
        <w:t xml:space="preserve">The </w:t>
      </w:r>
      <w:r>
        <w:rPr>
          <w:szCs w:val="24"/>
        </w:rPr>
        <w:t xml:space="preserve">signs and </w:t>
      </w:r>
      <w:r w:rsidRPr="00390B62">
        <w:rPr>
          <w:szCs w:val="24"/>
        </w:rPr>
        <w:t xml:space="preserve">symptoms </w:t>
      </w:r>
      <w:r>
        <w:rPr>
          <w:szCs w:val="24"/>
        </w:rPr>
        <w:t>a</w:t>
      </w:r>
      <w:r w:rsidRPr="00390B62">
        <w:rPr>
          <w:szCs w:val="24"/>
        </w:rPr>
        <w:t xml:space="preserve">re </w:t>
      </w:r>
      <w:r>
        <w:rPr>
          <w:szCs w:val="24"/>
        </w:rPr>
        <w:t>often variable and non</w:t>
      </w:r>
      <w:r w:rsidR="00817339">
        <w:rPr>
          <w:szCs w:val="24"/>
        </w:rPr>
        <w:t>-</w:t>
      </w:r>
      <w:r>
        <w:rPr>
          <w:szCs w:val="24"/>
        </w:rPr>
        <w:t>specific, with t</w:t>
      </w:r>
      <w:r w:rsidRPr="00390B62">
        <w:rPr>
          <w:szCs w:val="24"/>
        </w:rPr>
        <w:t>he most common</w:t>
      </w:r>
      <w:r>
        <w:rPr>
          <w:szCs w:val="24"/>
        </w:rPr>
        <w:t xml:space="preserve"> being</w:t>
      </w:r>
      <w:r w:rsidRPr="00390B62">
        <w:rPr>
          <w:szCs w:val="24"/>
        </w:rPr>
        <w:t xml:space="preserve"> headache, dizziness, weakness, nausea, vomiting, chest pain, and altered mental status</w:t>
      </w:r>
      <w:r w:rsidR="00420A13">
        <w:rPr>
          <w:szCs w:val="24"/>
        </w:rPr>
        <w:t>.</w:t>
      </w:r>
      <w:r w:rsidR="00C66511">
        <w:rPr>
          <w:szCs w:val="24"/>
        </w:rPr>
        <w:t xml:space="preserve"> [</w:t>
      </w:r>
      <w:r w:rsidRPr="00835783">
        <w:rPr>
          <w:i/>
          <w:szCs w:val="24"/>
        </w:rPr>
        <w:t>CDC</w:t>
      </w:r>
      <w:r w:rsidR="00C66511">
        <w:rPr>
          <w:szCs w:val="24"/>
        </w:rPr>
        <w:t>]</w:t>
      </w:r>
    </w:p>
    <w:p w:rsidR="00390B62" w:rsidRDefault="00390B62" w:rsidP="00390B62">
      <w:pPr>
        <w:numPr>
          <w:ilvl w:val="0"/>
          <w:numId w:val="24"/>
        </w:numPr>
        <w:spacing w:before="120"/>
        <w:ind w:left="1440"/>
        <w:rPr>
          <w:szCs w:val="24"/>
        </w:rPr>
      </w:pPr>
      <w:r w:rsidRPr="00390B62">
        <w:rPr>
          <w:szCs w:val="24"/>
        </w:rPr>
        <w:t>Severe symptoms include malaise, shortness of breath, headache, nausea, chest pain, irritability, ataxia, altered mental status</w:t>
      </w:r>
      <w:r>
        <w:rPr>
          <w:szCs w:val="24"/>
        </w:rPr>
        <w:t xml:space="preserve"> and</w:t>
      </w:r>
      <w:r w:rsidRPr="00390B62">
        <w:rPr>
          <w:szCs w:val="24"/>
        </w:rPr>
        <w:t xml:space="preserve"> other neurologic symptoms, loss of </w:t>
      </w:r>
      <w:r w:rsidR="00C66511">
        <w:rPr>
          <w:szCs w:val="24"/>
        </w:rPr>
        <w:t>consciousness, coma, and death</w:t>
      </w:r>
      <w:r w:rsidR="00420A13">
        <w:rPr>
          <w:szCs w:val="24"/>
        </w:rPr>
        <w:t>.</w:t>
      </w:r>
      <w:r w:rsidR="00C66511">
        <w:rPr>
          <w:szCs w:val="24"/>
        </w:rPr>
        <w:t xml:space="preserve"> [</w:t>
      </w:r>
      <w:r w:rsidRPr="00835783">
        <w:rPr>
          <w:i/>
          <w:szCs w:val="24"/>
        </w:rPr>
        <w:t>CDC</w:t>
      </w:r>
      <w:r w:rsidR="00C66511">
        <w:rPr>
          <w:szCs w:val="24"/>
        </w:rPr>
        <w:t>]</w:t>
      </w:r>
    </w:p>
    <w:p w:rsidR="00390B62" w:rsidRPr="00390B62" w:rsidRDefault="00390B62" w:rsidP="00390B62">
      <w:pPr>
        <w:numPr>
          <w:ilvl w:val="0"/>
          <w:numId w:val="24"/>
        </w:numPr>
        <w:spacing w:before="120"/>
        <w:ind w:left="1440"/>
        <w:rPr>
          <w:szCs w:val="24"/>
        </w:rPr>
      </w:pPr>
      <w:r>
        <w:rPr>
          <w:szCs w:val="24"/>
        </w:rPr>
        <w:t xml:space="preserve">Severe </w:t>
      </w:r>
      <w:r w:rsidRPr="00390B62">
        <w:rPr>
          <w:szCs w:val="24"/>
        </w:rPr>
        <w:t>signs include tachycardia, tachypnea, hypotension, various neurologic findings including impaired memory, cog</w:t>
      </w:r>
      <w:r>
        <w:rPr>
          <w:szCs w:val="24"/>
        </w:rPr>
        <w:t>nitive and sensory disturbances,</w:t>
      </w:r>
      <w:r w:rsidRPr="00390B62">
        <w:rPr>
          <w:szCs w:val="24"/>
        </w:rPr>
        <w:t xml:space="preserve"> </w:t>
      </w:r>
      <w:r w:rsidRPr="00390B62">
        <w:rPr>
          <w:szCs w:val="24"/>
        </w:rPr>
        <w:lastRenderedPageBreak/>
        <w:t>metabolic acidosis, arrhythmias, myocardial ischemia or infarction, and non</w:t>
      </w:r>
      <w:r>
        <w:rPr>
          <w:szCs w:val="24"/>
        </w:rPr>
        <w:t>-</w:t>
      </w:r>
      <w:r w:rsidRPr="00390B62">
        <w:rPr>
          <w:szCs w:val="24"/>
        </w:rPr>
        <w:t>cardiogenic pulmonary edema, although any organ system might be involved</w:t>
      </w:r>
      <w:r w:rsidR="00420A13">
        <w:rPr>
          <w:szCs w:val="24"/>
        </w:rPr>
        <w:t>.</w:t>
      </w:r>
      <w:r w:rsidR="00C66511">
        <w:rPr>
          <w:szCs w:val="24"/>
        </w:rPr>
        <w:t xml:space="preserve"> [</w:t>
      </w:r>
      <w:r w:rsidRPr="00835783">
        <w:rPr>
          <w:i/>
          <w:szCs w:val="24"/>
        </w:rPr>
        <w:t>CDC</w:t>
      </w:r>
      <w:r w:rsidR="00C66511">
        <w:rPr>
          <w:szCs w:val="24"/>
        </w:rPr>
        <w:t>]</w:t>
      </w:r>
    </w:p>
    <w:p w:rsidR="00E47DF0" w:rsidRDefault="00E47DF0" w:rsidP="00E47DF0">
      <w:pPr>
        <w:numPr>
          <w:ilvl w:val="0"/>
          <w:numId w:val="23"/>
        </w:numPr>
        <w:spacing w:before="120"/>
      </w:pPr>
      <w:r>
        <w:t>HCN</w:t>
      </w:r>
    </w:p>
    <w:p w:rsidR="00380D21" w:rsidRDefault="00E106F3" w:rsidP="001F4C64">
      <w:pPr>
        <w:numPr>
          <w:ilvl w:val="0"/>
          <w:numId w:val="26"/>
        </w:numPr>
        <w:spacing w:before="120"/>
        <w:ind w:left="1440"/>
      </w:pPr>
      <w:r w:rsidRPr="00E106F3">
        <w:t>Exposure to low</w:t>
      </w:r>
      <w:r w:rsidR="00380D21">
        <w:t>er</w:t>
      </w:r>
      <w:r w:rsidRPr="00E106F3">
        <w:t xml:space="preserve"> concentrations (or initial exposure to highe</w:t>
      </w:r>
      <w:r w:rsidR="00380D21">
        <w:t>r concentrations) may result in:</w:t>
      </w:r>
    </w:p>
    <w:p w:rsidR="00E47DF0" w:rsidRDefault="00380D21" w:rsidP="00380D21">
      <w:pPr>
        <w:numPr>
          <w:ilvl w:val="1"/>
          <w:numId w:val="18"/>
        </w:numPr>
        <w:spacing w:before="120"/>
        <w:ind w:left="1800"/>
      </w:pPr>
      <w:r>
        <w:t>S</w:t>
      </w:r>
      <w:r w:rsidR="00E106F3" w:rsidRPr="00E106F3">
        <w:t xml:space="preserve">tupor, confusion, flushing, anxiety, perspiration, headache, drowsiness, </w:t>
      </w:r>
      <w:r w:rsidR="00E106F3">
        <w:t xml:space="preserve">and </w:t>
      </w:r>
      <w:r w:rsidR="00E106F3" w:rsidRPr="00E106F3">
        <w:t>tachycardia (greater than 100 beats per minute in an adult)</w:t>
      </w:r>
      <w:r w:rsidR="00420A13">
        <w:t>.</w:t>
      </w:r>
      <w:r w:rsidR="00C66511">
        <w:t xml:space="preserve"> [</w:t>
      </w:r>
      <w:r w:rsidR="009007AC" w:rsidRPr="00380D21">
        <w:rPr>
          <w:i/>
        </w:rPr>
        <w:t>Rochford</w:t>
      </w:r>
      <w:r w:rsidR="00C66511">
        <w:t>]</w:t>
      </w:r>
    </w:p>
    <w:p w:rsidR="00380D21" w:rsidRDefault="00380D21" w:rsidP="00380D21">
      <w:pPr>
        <w:numPr>
          <w:ilvl w:val="1"/>
          <w:numId w:val="18"/>
        </w:numPr>
        <w:spacing w:before="120"/>
        <w:ind w:left="1800"/>
      </w:pPr>
      <w:r>
        <w:t>Eye irritation, headache, confusion, nausea, and vomiting followed in some cases by coma and death. [</w:t>
      </w:r>
      <w:r w:rsidRPr="00380D21">
        <w:rPr>
          <w:i/>
        </w:rPr>
        <w:t>ATSDR</w:t>
      </w:r>
      <w:r>
        <w:t>]</w:t>
      </w:r>
    </w:p>
    <w:p w:rsidR="00380D21" w:rsidRDefault="00E106F3" w:rsidP="00380D21">
      <w:pPr>
        <w:numPr>
          <w:ilvl w:val="0"/>
          <w:numId w:val="26"/>
        </w:numPr>
        <w:spacing w:before="120"/>
        <w:ind w:left="1440"/>
      </w:pPr>
      <w:r w:rsidRPr="00E106F3">
        <w:t>Exposures</w:t>
      </w:r>
      <w:r>
        <w:t xml:space="preserve"> to higher concentrations may</w:t>
      </w:r>
      <w:r w:rsidR="00380D21">
        <w:t xml:space="preserve"> result in:</w:t>
      </w:r>
    </w:p>
    <w:p w:rsidR="00380D21" w:rsidRDefault="00380D21" w:rsidP="00380D21">
      <w:pPr>
        <w:numPr>
          <w:ilvl w:val="0"/>
          <w:numId w:val="33"/>
        </w:numPr>
        <w:spacing w:before="120"/>
      </w:pPr>
      <w:r>
        <w:t>P</w:t>
      </w:r>
      <w:r w:rsidR="00E106F3" w:rsidRPr="00E106F3">
        <w:t>rostration, tremors, cardiac arrhythmia (in whic</w:t>
      </w:r>
      <w:r w:rsidR="00420A13">
        <w:t xml:space="preserve">h can be delayed 2 to </w:t>
      </w:r>
      <w:r w:rsidR="00E106F3">
        <w:t>3 weeks post-</w:t>
      </w:r>
      <w:r w:rsidR="00E106F3" w:rsidRPr="00E106F3">
        <w:t>fire exposure), coma, respiratory depression, respiratory arrest, and cardiovascular collapse</w:t>
      </w:r>
      <w:r w:rsidR="00420A13">
        <w:t>.</w:t>
      </w:r>
      <w:r w:rsidR="00C66511">
        <w:t xml:space="preserve"> [</w:t>
      </w:r>
      <w:r w:rsidR="009007AC" w:rsidRPr="00380D21">
        <w:rPr>
          <w:i/>
        </w:rPr>
        <w:t>Rochford</w:t>
      </w:r>
      <w:r w:rsidR="00C66511">
        <w:t>]</w:t>
      </w:r>
    </w:p>
    <w:p w:rsidR="00380D21" w:rsidRDefault="00380D21" w:rsidP="00380D21">
      <w:pPr>
        <w:numPr>
          <w:ilvl w:val="0"/>
          <w:numId w:val="33"/>
        </w:numPr>
        <w:spacing w:before="120"/>
      </w:pPr>
      <w:r>
        <w:t>Abrupt onset of profound central nervous system (CNS), cardiovascular, and respiratory effects leading to death within minutes. [</w:t>
      </w:r>
      <w:r>
        <w:rPr>
          <w:i/>
        </w:rPr>
        <w:t>ATSDR</w:t>
      </w:r>
      <w:r>
        <w:t>]</w:t>
      </w:r>
    </w:p>
    <w:p w:rsidR="00E47DF0" w:rsidRPr="00CD5EB2" w:rsidRDefault="00E47DF0" w:rsidP="00CD5EB2">
      <w:pPr>
        <w:numPr>
          <w:ilvl w:val="0"/>
          <w:numId w:val="6"/>
        </w:numPr>
        <w:tabs>
          <w:tab w:val="clear" w:pos="1080"/>
          <w:tab w:val="num" w:pos="720"/>
        </w:tabs>
        <w:spacing w:before="360"/>
        <w:ind w:left="720"/>
        <w:rPr>
          <w:b/>
          <w:spacing w:val="-2"/>
        </w:rPr>
      </w:pPr>
      <w:r w:rsidRPr="00CD5EB2">
        <w:rPr>
          <w:b/>
          <w:spacing w:val="-2"/>
        </w:rPr>
        <w:t>DECONTAMINATION</w:t>
      </w:r>
    </w:p>
    <w:p w:rsidR="0039212D" w:rsidRPr="0039212D" w:rsidRDefault="0039212D" w:rsidP="0039212D">
      <w:pPr>
        <w:numPr>
          <w:ilvl w:val="0"/>
          <w:numId w:val="28"/>
        </w:numPr>
        <w:spacing w:before="120"/>
      </w:pPr>
      <w:r w:rsidRPr="0039212D">
        <w:t xml:space="preserve">Personnel </w:t>
      </w:r>
      <w:r w:rsidR="00C74595">
        <w:t xml:space="preserve">who were performing fire suppression or overhaul operations, or who were exposed to substantial amounts of smoke from those operations, </w:t>
      </w:r>
      <w:r w:rsidRPr="0039212D">
        <w:t xml:space="preserve">should practice good personal hygiene by washing </w:t>
      </w:r>
      <w:r w:rsidR="00F65D74">
        <w:t xml:space="preserve">the </w:t>
      </w:r>
      <w:r w:rsidRPr="0039212D">
        <w:t xml:space="preserve">hands </w:t>
      </w:r>
      <w:r w:rsidR="00F65D74">
        <w:t xml:space="preserve">and face </w:t>
      </w:r>
      <w:r>
        <w:t>with soap and water before eating o</w:t>
      </w:r>
      <w:r w:rsidR="00C74595">
        <w:t>r</w:t>
      </w:r>
      <w:r>
        <w:t xml:space="preserve"> drinking</w:t>
      </w:r>
      <w:r w:rsidR="00EB4FAD">
        <w:t>.</w:t>
      </w:r>
    </w:p>
    <w:p w:rsidR="0039212D" w:rsidRDefault="0039212D" w:rsidP="0039212D">
      <w:pPr>
        <w:numPr>
          <w:ilvl w:val="0"/>
          <w:numId w:val="28"/>
        </w:numPr>
        <w:spacing w:before="120"/>
      </w:pPr>
      <w:r w:rsidRPr="0039212D">
        <w:t>If turnout gear is soiled, decont</w:t>
      </w:r>
      <w:r>
        <w:t xml:space="preserve">aminate the gear </w:t>
      </w:r>
      <w:r w:rsidR="00F65D74">
        <w:t>while on scene.</w:t>
      </w:r>
    </w:p>
    <w:p w:rsidR="0039212D" w:rsidRPr="0039212D" w:rsidRDefault="0039212D" w:rsidP="0039212D">
      <w:pPr>
        <w:numPr>
          <w:ilvl w:val="0"/>
          <w:numId w:val="31"/>
        </w:numPr>
        <w:spacing w:before="120"/>
        <w:ind w:left="1440"/>
      </w:pPr>
      <w:r w:rsidRPr="0039212D">
        <w:t>A PPV fan and/or a soft bristle brush can be used to remove large particulates</w:t>
      </w:r>
      <w:r>
        <w:t>.</w:t>
      </w:r>
    </w:p>
    <w:p w:rsidR="0039212D" w:rsidRPr="0039212D" w:rsidRDefault="0039212D" w:rsidP="0039212D">
      <w:pPr>
        <w:numPr>
          <w:ilvl w:val="0"/>
          <w:numId w:val="31"/>
        </w:numPr>
        <w:spacing w:before="120"/>
        <w:ind w:left="1440"/>
      </w:pPr>
      <w:r w:rsidRPr="0039212D">
        <w:t>If a fan or brush is not available</w:t>
      </w:r>
      <w:r>
        <w:t>,</w:t>
      </w:r>
      <w:r w:rsidRPr="0039212D">
        <w:t xml:space="preserve"> briefly rinse with a soft fo</w:t>
      </w:r>
      <w:r>
        <w:t xml:space="preserve">g pattern </w:t>
      </w:r>
      <w:r w:rsidR="00BD3930">
        <w:t xml:space="preserve">while trying </w:t>
      </w:r>
      <w:r>
        <w:t>to prevent saturation</w:t>
      </w:r>
      <w:r w:rsidR="0009062F">
        <w:t xml:space="preserve"> (</w:t>
      </w:r>
      <w:r w:rsidR="00914706">
        <w:t xml:space="preserve">HCN </w:t>
      </w:r>
      <w:r w:rsidR="0009062F">
        <w:t>skin absorption)</w:t>
      </w:r>
      <w:r>
        <w:t>.</w:t>
      </w:r>
    </w:p>
    <w:p w:rsidR="005632E9" w:rsidRPr="005632E9" w:rsidRDefault="005632E9" w:rsidP="005632E9">
      <w:pPr>
        <w:numPr>
          <w:ilvl w:val="0"/>
          <w:numId w:val="28"/>
        </w:numPr>
        <w:spacing w:before="120"/>
      </w:pPr>
      <w:r>
        <w:t>Turnout g</w:t>
      </w:r>
      <w:r w:rsidRPr="005632E9">
        <w:t>ear should be washed as soon as possibl</w:t>
      </w:r>
      <w:r>
        <w:t>e.</w:t>
      </w:r>
    </w:p>
    <w:p w:rsidR="005632E9" w:rsidRPr="005632E9" w:rsidRDefault="00914706" w:rsidP="005632E9">
      <w:pPr>
        <w:numPr>
          <w:ilvl w:val="0"/>
          <w:numId w:val="32"/>
        </w:numPr>
        <w:spacing w:before="120"/>
        <w:ind w:left="1440"/>
      </w:pPr>
      <w:r>
        <w:t xml:space="preserve">Turnout gear, </w:t>
      </w:r>
      <w:r w:rsidR="005632E9" w:rsidRPr="005632E9">
        <w:t>flash hood</w:t>
      </w:r>
      <w:r>
        <w:t>,</w:t>
      </w:r>
      <w:r w:rsidR="005632E9" w:rsidRPr="005632E9">
        <w:t xml:space="preserve"> </w:t>
      </w:r>
      <w:r>
        <w:t xml:space="preserve">and gloves </w:t>
      </w:r>
      <w:r w:rsidR="005632E9" w:rsidRPr="005632E9">
        <w:t xml:space="preserve">should be washed </w:t>
      </w:r>
      <w:r w:rsidR="00BD3930">
        <w:t xml:space="preserve">and dried in accordance with the manufacturer’s instructions, or </w:t>
      </w:r>
      <w:r w:rsidR="005632E9" w:rsidRPr="005632E9">
        <w:t xml:space="preserve">in </w:t>
      </w:r>
      <w:r w:rsidR="005632E9">
        <w:t xml:space="preserve">an </w:t>
      </w:r>
      <w:r w:rsidR="005632E9" w:rsidRPr="005632E9">
        <w:t>extractor per NF</w:t>
      </w:r>
      <w:r w:rsidR="00BD3930">
        <w:t>PA 1851</w:t>
      </w:r>
      <w:r w:rsidR="005632E9">
        <w:t xml:space="preserve"> if possible.</w:t>
      </w:r>
    </w:p>
    <w:p w:rsidR="005632E9" w:rsidRPr="005632E9" w:rsidRDefault="00914706" w:rsidP="005632E9">
      <w:pPr>
        <w:numPr>
          <w:ilvl w:val="0"/>
          <w:numId w:val="32"/>
        </w:numPr>
        <w:spacing w:before="120"/>
        <w:ind w:left="1440"/>
      </w:pPr>
      <w:r>
        <w:t>B</w:t>
      </w:r>
      <w:r w:rsidR="00BD3930">
        <w:t xml:space="preserve">oots and helmet </w:t>
      </w:r>
      <w:r w:rsidR="005632E9" w:rsidRPr="005632E9">
        <w:t xml:space="preserve">should be washed </w:t>
      </w:r>
      <w:r w:rsidR="00BD3930">
        <w:t>with a brush, soap</w:t>
      </w:r>
      <w:r>
        <w:t>,</w:t>
      </w:r>
      <w:r w:rsidR="00BD3930">
        <w:t xml:space="preserve"> and water</w:t>
      </w:r>
      <w:r>
        <w:t>.</w:t>
      </w:r>
    </w:p>
    <w:p w:rsidR="00E47DF0" w:rsidRPr="00CD5EB2" w:rsidRDefault="00E47DF0" w:rsidP="00CD5EB2">
      <w:pPr>
        <w:numPr>
          <w:ilvl w:val="0"/>
          <w:numId w:val="6"/>
        </w:numPr>
        <w:tabs>
          <w:tab w:val="clear" w:pos="1080"/>
          <w:tab w:val="num" w:pos="720"/>
        </w:tabs>
        <w:spacing w:before="360"/>
        <w:ind w:left="720"/>
        <w:rPr>
          <w:b/>
          <w:spacing w:val="-2"/>
        </w:rPr>
      </w:pPr>
      <w:r w:rsidRPr="00CD5EB2">
        <w:rPr>
          <w:b/>
          <w:spacing w:val="-2"/>
        </w:rPr>
        <w:t>REPORTING</w:t>
      </w:r>
    </w:p>
    <w:p w:rsidR="00E47DF0" w:rsidRDefault="00382B01" w:rsidP="002C3109">
      <w:pPr>
        <w:numPr>
          <w:ilvl w:val="0"/>
          <w:numId w:val="29"/>
        </w:numPr>
        <w:spacing w:before="120"/>
      </w:pPr>
      <w:r>
        <w:t>The IC and/or SO</w:t>
      </w:r>
      <w:r w:rsidR="008022A1">
        <w:t xml:space="preserve"> should be responsible for recording </w:t>
      </w:r>
      <w:r w:rsidR="00AF32B9">
        <w:t>the</w:t>
      </w:r>
      <w:r w:rsidR="008022A1">
        <w:t xml:space="preserve"> </w:t>
      </w:r>
      <w:r w:rsidR="0086510A">
        <w:t xml:space="preserve">CO and/or HCN </w:t>
      </w:r>
      <w:r w:rsidR="008022A1">
        <w:t xml:space="preserve">exposure to </w:t>
      </w:r>
      <w:r w:rsidR="008E16F0">
        <w:t xml:space="preserve">any </w:t>
      </w:r>
      <w:r>
        <w:t>personnel</w:t>
      </w:r>
      <w:r w:rsidR="008E16F0">
        <w:t xml:space="preserve"> not wearing </w:t>
      </w:r>
      <w:r w:rsidR="0086510A">
        <w:t xml:space="preserve">a SCBA </w:t>
      </w:r>
      <w:r>
        <w:t xml:space="preserve">or turnout gear </w:t>
      </w:r>
      <w:r w:rsidR="0086510A">
        <w:t>as required</w:t>
      </w:r>
      <w:r w:rsidR="008022A1">
        <w:t xml:space="preserve"> during a fire.</w:t>
      </w:r>
    </w:p>
    <w:p w:rsidR="008E16F0" w:rsidRDefault="008E16F0" w:rsidP="002C3109">
      <w:pPr>
        <w:numPr>
          <w:ilvl w:val="0"/>
          <w:numId w:val="29"/>
        </w:numPr>
        <w:spacing w:before="120"/>
      </w:pPr>
      <w:r>
        <w:t>The incid</w:t>
      </w:r>
      <w:r w:rsidR="00382B01">
        <w:t>ent report (NFIRS, etc.) generat</w:t>
      </w:r>
      <w:r>
        <w:t>ed by</w:t>
      </w:r>
      <w:r w:rsidR="00AF32B9">
        <w:t xml:space="preserve"> each</w:t>
      </w:r>
      <w:r>
        <w:t xml:space="preserve"> department should include </w:t>
      </w:r>
      <w:r w:rsidR="00AF32B9">
        <w:t xml:space="preserve">the </w:t>
      </w:r>
      <w:r w:rsidR="0086510A">
        <w:t xml:space="preserve">CO and/or HCN </w:t>
      </w:r>
      <w:r w:rsidR="00AF32B9">
        <w:t xml:space="preserve">exposure to its </w:t>
      </w:r>
      <w:r w:rsidR="00382B01">
        <w:t>personnel who were</w:t>
      </w:r>
      <w:r w:rsidR="00AF32B9">
        <w:t xml:space="preserve"> not wearing </w:t>
      </w:r>
      <w:r w:rsidR="0086510A">
        <w:t xml:space="preserve">a SCBA </w:t>
      </w:r>
      <w:r w:rsidR="00382B01">
        <w:t xml:space="preserve">or turnout gear </w:t>
      </w:r>
      <w:r w:rsidR="0086510A">
        <w:t>as required during a fire</w:t>
      </w:r>
      <w:r w:rsidR="00AF32B9">
        <w:t>.</w:t>
      </w:r>
    </w:p>
    <w:p w:rsidR="008022A1" w:rsidRDefault="008022A1" w:rsidP="002C3109">
      <w:pPr>
        <w:numPr>
          <w:ilvl w:val="0"/>
          <w:numId w:val="29"/>
        </w:numPr>
        <w:spacing w:before="120"/>
      </w:pPr>
      <w:r>
        <w:lastRenderedPageBreak/>
        <w:t xml:space="preserve">An Accident Report should be completed </w:t>
      </w:r>
      <w:r w:rsidR="008E16F0">
        <w:t xml:space="preserve">and submitted to the </w:t>
      </w:r>
      <w:r w:rsidR="00BD3930">
        <w:t>authority having jurisdiction</w:t>
      </w:r>
      <w:r w:rsidR="008E16F0">
        <w:t xml:space="preserve"> </w:t>
      </w:r>
      <w:r>
        <w:t xml:space="preserve">by an officer from the department of any firefighter </w:t>
      </w:r>
      <w:r w:rsidR="008E16F0">
        <w:t xml:space="preserve">who was exposed above an Action Level </w:t>
      </w:r>
      <w:r w:rsidR="0086510A">
        <w:t xml:space="preserve">for CO and/or HCN </w:t>
      </w:r>
      <w:r w:rsidR="008E16F0">
        <w:t xml:space="preserve">while not </w:t>
      </w:r>
      <w:r>
        <w:t xml:space="preserve">wearing </w:t>
      </w:r>
      <w:r w:rsidR="0086510A">
        <w:t xml:space="preserve">a SCBA </w:t>
      </w:r>
      <w:r w:rsidR="00382B01">
        <w:t xml:space="preserve">or turnout gear </w:t>
      </w:r>
      <w:r w:rsidR="0086510A">
        <w:t>as required during a fire</w:t>
      </w:r>
      <w:r>
        <w:t>.</w:t>
      </w:r>
    </w:p>
    <w:p w:rsidR="00E47DF0" w:rsidRPr="00CD5EB2" w:rsidRDefault="00E47DF0" w:rsidP="00CD5EB2">
      <w:pPr>
        <w:numPr>
          <w:ilvl w:val="0"/>
          <w:numId w:val="6"/>
        </w:numPr>
        <w:tabs>
          <w:tab w:val="clear" w:pos="1080"/>
          <w:tab w:val="num" w:pos="720"/>
        </w:tabs>
        <w:spacing w:before="360"/>
        <w:ind w:left="720"/>
        <w:rPr>
          <w:b/>
          <w:spacing w:val="-2"/>
        </w:rPr>
      </w:pPr>
      <w:r w:rsidRPr="00CD5EB2">
        <w:rPr>
          <w:b/>
          <w:spacing w:val="-2"/>
        </w:rPr>
        <w:t>METER CALIBRATION</w:t>
      </w:r>
      <w:r w:rsidR="00AF32B9">
        <w:rPr>
          <w:b/>
          <w:spacing w:val="-2"/>
        </w:rPr>
        <w:t xml:space="preserve"> AND TESTING</w:t>
      </w:r>
    </w:p>
    <w:p w:rsidR="00E47DF0" w:rsidRDefault="00AF32B9" w:rsidP="002C3109">
      <w:pPr>
        <w:numPr>
          <w:ilvl w:val="0"/>
          <w:numId w:val="30"/>
        </w:numPr>
        <w:spacing w:before="120"/>
      </w:pPr>
      <w:r>
        <w:t>Meter calibration and testing should be performed in accordance with the manufacturer’s instructions.</w:t>
      </w:r>
    </w:p>
    <w:p w:rsidR="00AF32B9" w:rsidRDefault="00AF32B9" w:rsidP="002C3109">
      <w:pPr>
        <w:numPr>
          <w:ilvl w:val="0"/>
          <w:numId w:val="30"/>
        </w:numPr>
        <w:spacing w:before="120"/>
      </w:pPr>
      <w:r>
        <w:t xml:space="preserve">Any </w:t>
      </w:r>
      <w:r w:rsidRPr="00AF32B9">
        <w:t>meters exposed to a high concentration and register</w:t>
      </w:r>
      <w:r>
        <w:t>ing</w:t>
      </w:r>
      <w:r w:rsidRPr="00AF32B9">
        <w:t xml:space="preserve"> “out of range” </w:t>
      </w:r>
      <w:r w:rsidR="00382B01">
        <w:t xml:space="preserve">(or equivalent) </w:t>
      </w:r>
      <w:r w:rsidRPr="00AF32B9">
        <w:t>o</w:t>
      </w:r>
      <w:r>
        <w:t>n its</w:t>
      </w:r>
      <w:r w:rsidRPr="00AF32B9">
        <w:t xml:space="preserve"> display </w:t>
      </w:r>
      <w:r>
        <w:t>should be taken out of service until it is calibrated (as soon as possible).</w:t>
      </w:r>
    </w:p>
    <w:p w:rsidR="007717E7" w:rsidRDefault="00427E68" w:rsidP="00CD5EB2">
      <w:pPr>
        <w:numPr>
          <w:ilvl w:val="0"/>
          <w:numId w:val="6"/>
        </w:numPr>
        <w:tabs>
          <w:tab w:val="clear" w:pos="1080"/>
          <w:tab w:val="num" w:pos="720"/>
        </w:tabs>
        <w:spacing w:before="360"/>
        <w:ind w:left="720"/>
        <w:rPr>
          <w:b/>
          <w:spacing w:val="-2"/>
        </w:rPr>
      </w:pPr>
      <w:r>
        <w:rPr>
          <w:b/>
          <w:spacing w:val="-2"/>
        </w:rPr>
        <w:t>REFERENCES</w:t>
      </w:r>
    </w:p>
    <w:p w:rsidR="00487C4B" w:rsidRDefault="00487C4B" w:rsidP="00487C4B">
      <w:pPr>
        <w:numPr>
          <w:ilvl w:val="1"/>
          <w:numId w:val="6"/>
        </w:numPr>
        <w:tabs>
          <w:tab w:val="clear" w:pos="1440"/>
        </w:tabs>
        <w:spacing w:before="120"/>
        <w:ind w:left="1080"/>
      </w:pPr>
      <w:r>
        <w:t>US Centers for Disease Control (</w:t>
      </w:r>
      <w:r w:rsidRPr="00382B01">
        <w:rPr>
          <w:i/>
        </w:rPr>
        <w:t>CDC</w:t>
      </w:r>
      <w:r>
        <w:t>) – Clinical Guidance for Carbon Monoxide Poisoning after a Disaster</w:t>
      </w:r>
    </w:p>
    <w:p w:rsidR="00487C4B" w:rsidRDefault="00487C4B" w:rsidP="00427E68">
      <w:pPr>
        <w:numPr>
          <w:ilvl w:val="1"/>
          <w:numId w:val="6"/>
        </w:numPr>
        <w:tabs>
          <w:tab w:val="clear" w:pos="1440"/>
        </w:tabs>
        <w:spacing w:before="120"/>
        <w:ind w:left="1080"/>
      </w:pPr>
      <w:r>
        <w:t>Agency for Toxic Substances and Disease Registry (</w:t>
      </w:r>
      <w:r w:rsidRPr="00382B01">
        <w:rPr>
          <w:i/>
        </w:rPr>
        <w:t>ATSDR</w:t>
      </w:r>
      <w:r>
        <w:t>) – Hydrogen Cyanide Patient Information Sheet</w:t>
      </w:r>
    </w:p>
    <w:p w:rsidR="001F3CFA" w:rsidRDefault="00427E68" w:rsidP="00427E68">
      <w:pPr>
        <w:numPr>
          <w:ilvl w:val="1"/>
          <w:numId w:val="6"/>
        </w:numPr>
        <w:tabs>
          <w:tab w:val="clear" w:pos="1440"/>
        </w:tabs>
        <w:spacing w:before="120"/>
        <w:ind w:left="1080"/>
      </w:pPr>
      <w:r>
        <w:t>Rochford, Rick – Hydrogen Cyanide: New Generation Concerns Resulting in Firefighting Tactics and Medicine</w:t>
      </w:r>
    </w:p>
    <w:p w:rsidR="000F79AE" w:rsidRDefault="00E412BC" w:rsidP="000F79AE">
      <w:pPr>
        <w:numPr>
          <w:ilvl w:val="1"/>
          <w:numId w:val="6"/>
        </w:numPr>
        <w:tabs>
          <w:tab w:val="clear" w:pos="1440"/>
        </w:tabs>
        <w:spacing w:before="120"/>
        <w:ind w:left="1080"/>
      </w:pPr>
      <w:proofErr w:type="spellStart"/>
      <w:r w:rsidRPr="000F79AE">
        <w:t>Varone</w:t>
      </w:r>
      <w:proofErr w:type="spellEnd"/>
      <w:r w:rsidRPr="000F79AE">
        <w:t xml:space="preserve"> et al.</w:t>
      </w:r>
      <w:r w:rsidR="000F79AE">
        <w:t xml:space="preserve"> – “</w:t>
      </w:r>
      <w:r w:rsidRPr="000F79AE">
        <w:t>Report of the Investigation Committee into the Cyanide Poisonings of Providence Firefighters,” May 30, 2006</w:t>
      </w:r>
    </w:p>
    <w:p w:rsidR="00A65B3D" w:rsidRDefault="00FE48EE" w:rsidP="00A65B3D">
      <w:pPr>
        <w:numPr>
          <w:ilvl w:val="1"/>
          <w:numId w:val="6"/>
        </w:numPr>
        <w:tabs>
          <w:tab w:val="clear" w:pos="1440"/>
        </w:tabs>
        <w:spacing w:before="120"/>
        <w:ind w:left="1080"/>
      </w:pPr>
      <w:r>
        <w:t>National Institute for Occupational Safety and Health (</w:t>
      </w:r>
      <w:r w:rsidR="00E412BC" w:rsidRPr="00FE48EE">
        <w:rPr>
          <w:i/>
        </w:rPr>
        <w:t>NIOSH</w:t>
      </w:r>
      <w:r>
        <w:t>) – “Po</w:t>
      </w:r>
      <w:r w:rsidR="00E412BC" w:rsidRPr="00A65B3D">
        <w:t>cket Guide to Chemical Hazards,” September 2007</w:t>
      </w:r>
    </w:p>
    <w:sectPr w:rsidR="00A65B3D" w:rsidSect="00BB36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20" w:right="1080" w:bottom="990" w:left="180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BCD" w:rsidRDefault="00FC3BCD">
      <w:r>
        <w:separator/>
      </w:r>
    </w:p>
  </w:endnote>
  <w:endnote w:type="continuationSeparator" w:id="0">
    <w:p w:rsidR="00FC3BCD" w:rsidRDefault="00FC3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5A1" w:rsidRDefault="003815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5A1" w:rsidRDefault="003815A1" w:rsidP="003815A1">
    <w:pPr>
      <w:pStyle w:val="Footer"/>
      <w:jc w:val="center"/>
      <w:rPr>
        <w:sz w:val="20"/>
      </w:rPr>
    </w:pPr>
    <w:r w:rsidRPr="003815A1">
      <w:rPr>
        <w:noProof/>
        <w:sz w:val="20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112859</wp:posOffset>
              </wp:positionV>
              <wp:extent cx="1488440" cy="1404620"/>
              <wp:effectExtent l="0" t="0" r="0" b="127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844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815A1" w:rsidRDefault="003815A1">
                          <w:r>
                            <w:rPr>
                              <w:bCs/>
                              <w:sz w:val="20"/>
                            </w:rPr>
                            <w:t>Kevin Hayes, April 2017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66pt;margin-top:8.9pt;width:117.2pt;height:110.6pt;z-index:25166233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" stroked="f">
              <v:textbox style="mso-fit-shape-to-text:t">
                <w:txbxContent>
                  <w:p w:rsidR="003815A1" w:rsidRDefault="003815A1">
                    <w:r>
                      <w:rPr>
                        <w:bCs/>
                        <w:sz w:val="20"/>
                      </w:rPr>
                      <w:t>Kevin Hayes, April 2017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3815A1" w:rsidRPr="003815A1" w:rsidRDefault="003815A1" w:rsidP="003815A1">
    <w:pPr>
      <w:pStyle w:val="Footer"/>
      <w:jc w:val="center"/>
      <w:rPr>
        <w:bCs/>
        <w:sz w:val="20"/>
      </w:rPr>
    </w:pPr>
    <w:r w:rsidRPr="003815A1">
      <w:rPr>
        <w:sz w:val="20"/>
      </w:rPr>
      <w:t xml:space="preserve">Page </w:t>
    </w:r>
    <w:r w:rsidRPr="003815A1">
      <w:rPr>
        <w:bCs/>
        <w:sz w:val="20"/>
      </w:rPr>
      <w:fldChar w:fldCharType="begin"/>
    </w:r>
    <w:r w:rsidRPr="003815A1">
      <w:rPr>
        <w:bCs/>
        <w:sz w:val="20"/>
      </w:rPr>
      <w:instrText xml:space="preserve"> PAGE  \* Arabic  \* MERGEFORMAT </w:instrText>
    </w:r>
    <w:r w:rsidRPr="003815A1">
      <w:rPr>
        <w:bCs/>
        <w:sz w:val="20"/>
      </w:rPr>
      <w:fldChar w:fldCharType="separate"/>
    </w:r>
    <w:r w:rsidR="005C7968">
      <w:rPr>
        <w:bCs/>
        <w:noProof/>
        <w:sz w:val="20"/>
      </w:rPr>
      <w:t>5</w:t>
    </w:r>
    <w:r w:rsidRPr="003815A1">
      <w:rPr>
        <w:bCs/>
        <w:sz w:val="20"/>
      </w:rPr>
      <w:fldChar w:fldCharType="end"/>
    </w:r>
    <w:r w:rsidRPr="003815A1">
      <w:rPr>
        <w:sz w:val="20"/>
      </w:rPr>
      <w:t xml:space="preserve"> of </w:t>
    </w:r>
    <w:r w:rsidRPr="003815A1">
      <w:rPr>
        <w:bCs/>
        <w:sz w:val="20"/>
      </w:rPr>
      <w:fldChar w:fldCharType="begin"/>
    </w:r>
    <w:r w:rsidRPr="003815A1">
      <w:rPr>
        <w:bCs/>
        <w:sz w:val="20"/>
      </w:rPr>
      <w:instrText xml:space="preserve"> NUMPAGES  \* Arabic  \* MERGEFORMAT </w:instrText>
    </w:r>
    <w:r w:rsidRPr="003815A1">
      <w:rPr>
        <w:bCs/>
        <w:sz w:val="20"/>
      </w:rPr>
      <w:fldChar w:fldCharType="separate"/>
    </w:r>
    <w:r w:rsidR="005C7968">
      <w:rPr>
        <w:bCs/>
        <w:noProof/>
        <w:sz w:val="20"/>
      </w:rPr>
      <w:t>5</w:t>
    </w:r>
    <w:r w:rsidRPr="003815A1">
      <w:rPr>
        <w:bCs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5A1" w:rsidRDefault="003815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BCD" w:rsidRDefault="00FC3BCD">
      <w:r>
        <w:separator/>
      </w:r>
    </w:p>
  </w:footnote>
  <w:footnote w:type="continuationSeparator" w:id="0">
    <w:p w:rsidR="00FC3BCD" w:rsidRDefault="00FC3B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5A1" w:rsidRDefault="003815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27B" w:rsidRDefault="00BB3680" w:rsidP="00BB3680">
    <w:pPr>
      <w:tabs>
        <w:tab w:val="center" w:pos="5040"/>
      </w:tabs>
      <w:suppressAutoHyphens/>
      <w:jc w:val="center"/>
      <w:rPr>
        <w:b/>
      </w:rPr>
    </w:pPr>
    <w:r>
      <w:rPr>
        <w:b/>
        <w:noProof/>
      </w:rPr>
      <w:drawing>
        <wp:anchor distT="0" distB="0" distL="114300" distR="114300" simplePos="0" relativeHeight="251660288" behindDoc="0" locked="0" layoutInCell="1" allowOverlap="1" wp14:anchorId="120AB164" wp14:editId="3F44081E">
          <wp:simplePos x="0" y="0"/>
          <wp:positionH relativeFrom="column">
            <wp:posOffset>5140668</wp:posOffset>
          </wp:positionH>
          <wp:positionV relativeFrom="paragraph">
            <wp:posOffset>-123567</wp:posOffset>
          </wp:positionV>
          <wp:extent cx="679622" cy="679622"/>
          <wp:effectExtent l="0" t="0" r="6350" b="635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ation Pride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6687" cy="6866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</w:rPr>
      <w:t>C</w:t>
    </w:r>
    <w:r w:rsidR="0065227B">
      <w:rPr>
        <w:b/>
      </w:rPr>
      <w:t>ARBON MONOXIDE and HYDROGEN CYANIDE</w:t>
    </w:r>
  </w:p>
  <w:p w:rsidR="00BB3680" w:rsidRDefault="00BF1086" w:rsidP="00BB3680">
    <w:pPr>
      <w:tabs>
        <w:tab w:val="center" w:pos="5040"/>
      </w:tabs>
      <w:suppressAutoHyphens/>
      <w:jc w:val="center"/>
      <w:rPr>
        <w:b/>
      </w:rPr>
    </w:pPr>
    <w:r>
      <w:rPr>
        <w:b/>
      </w:rPr>
      <w:t xml:space="preserve">EXPOSURE </w:t>
    </w:r>
    <w:r w:rsidR="00207784">
      <w:rPr>
        <w:b/>
      </w:rPr>
      <w:t>CONTROL</w:t>
    </w:r>
    <w:r w:rsidR="00BB3680">
      <w:rPr>
        <w:b/>
      </w:rPr>
      <w:t xml:space="preserve"> AT FIRES</w:t>
    </w:r>
  </w:p>
  <w:p w:rsidR="00BB3680" w:rsidRDefault="00BB3680" w:rsidP="00BB3680">
    <w:pPr>
      <w:tabs>
        <w:tab w:val="center" w:pos="5040"/>
      </w:tabs>
      <w:suppressAutoHyphens/>
      <w:jc w:val="center"/>
      <w:rPr>
        <w:b/>
      </w:rPr>
    </w:pPr>
  </w:p>
  <w:p w:rsidR="00BB3680" w:rsidRDefault="00BB3680" w:rsidP="00BB3680">
    <w:pPr>
      <w:tabs>
        <w:tab w:val="center" w:pos="5040"/>
      </w:tabs>
      <w:suppressAutoHyphens/>
      <w:jc w:val="center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680" w:rsidRDefault="00BB3680" w:rsidP="00BB3680">
    <w:pPr>
      <w:tabs>
        <w:tab w:val="center" w:pos="5040"/>
      </w:tabs>
      <w:suppressAutoHyphens/>
      <w:jc w:val="center"/>
      <w:rPr>
        <w:b/>
      </w:rPr>
    </w:pPr>
    <w:r>
      <w:rPr>
        <w:b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5010150</wp:posOffset>
          </wp:positionH>
          <wp:positionV relativeFrom="paragraph">
            <wp:posOffset>-123825</wp:posOffset>
          </wp:positionV>
          <wp:extent cx="809625" cy="809625"/>
          <wp:effectExtent l="0" t="0" r="9525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ation Pride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9625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</w:rPr>
      <w:t>CO &amp; HCN MANAGEMENT AT FIRES</w:t>
    </w:r>
  </w:p>
  <w:p w:rsidR="00BB3680" w:rsidRDefault="00BB3680" w:rsidP="00BB3680">
    <w:pPr>
      <w:tabs>
        <w:tab w:val="center" w:pos="5040"/>
      </w:tabs>
      <w:suppressAutoHyphens/>
      <w:jc w:val="center"/>
      <w:rPr>
        <w:b/>
      </w:rPr>
    </w:pPr>
  </w:p>
  <w:p w:rsidR="00BB3680" w:rsidRDefault="00BB3680" w:rsidP="00BB3680">
    <w:pPr>
      <w:tabs>
        <w:tab w:val="center" w:pos="5040"/>
      </w:tabs>
      <w:suppressAutoHyphens/>
      <w:jc w:val="center"/>
      <w:rPr>
        <w:b/>
      </w:rPr>
    </w:pPr>
  </w:p>
  <w:p w:rsidR="00BB3680" w:rsidRDefault="00BB36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7F2076F"/>
    <w:multiLevelType w:val="hybridMultilevel"/>
    <w:tmpl w:val="BE6E2F16"/>
    <w:lvl w:ilvl="0" w:tplc="DFFEC1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216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FF02000"/>
    <w:multiLevelType w:val="singleLevel"/>
    <w:tmpl w:val="A4D286E4"/>
    <w:lvl w:ilvl="0">
      <w:start w:val="1"/>
      <w:numFmt w:val="lowerLetter"/>
      <w:lvlText w:val="%1)"/>
      <w:lvlJc w:val="left"/>
      <w:pPr>
        <w:tabs>
          <w:tab w:val="num" w:pos="1452"/>
        </w:tabs>
        <w:ind w:left="1452" w:hanging="372"/>
      </w:pPr>
      <w:rPr>
        <w:rFonts w:hint="default"/>
      </w:rPr>
    </w:lvl>
  </w:abstractNum>
  <w:abstractNum w:abstractNumId="3" w15:restartNumberingAfterBreak="0">
    <w:nsid w:val="13303EE5"/>
    <w:multiLevelType w:val="hybridMultilevel"/>
    <w:tmpl w:val="1A022E8E"/>
    <w:lvl w:ilvl="0" w:tplc="C14C25F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216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619724A"/>
    <w:multiLevelType w:val="hybridMultilevel"/>
    <w:tmpl w:val="B17A3D88"/>
    <w:lvl w:ilvl="0" w:tplc="B404797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" w15:restartNumberingAfterBreak="0">
    <w:nsid w:val="17665BA3"/>
    <w:multiLevelType w:val="hybridMultilevel"/>
    <w:tmpl w:val="7598C8B0"/>
    <w:lvl w:ilvl="0" w:tplc="783623E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63D6A"/>
    <w:multiLevelType w:val="hybridMultilevel"/>
    <w:tmpl w:val="83FCE2F6"/>
    <w:lvl w:ilvl="0" w:tplc="35BE36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D54A5CE">
      <w:start w:val="1"/>
      <w:numFmt w:val="upperLetter"/>
      <w:lvlText w:val="%2."/>
      <w:lvlJc w:val="left"/>
      <w:pPr>
        <w:ind w:left="216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28C16E4"/>
    <w:multiLevelType w:val="hybridMultilevel"/>
    <w:tmpl w:val="AA32B9D6"/>
    <w:lvl w:ilvl="0" w:tplc="33A8FD4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B928A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76A3987"/>
    <w:multiLevelType w:val="hybridMultilevel"/>
    <w:tmpl w:val="667AF3F6"/>
    <w:lvl w:ilvl="0" w:tplc="4AA866F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4A39AB"/>
    <w:multiLevelType w:val="hybridMultilevel"/>
    <w:tmpl w:val="8CB2041E"/>
    <w:lvl w:ilvl="0" w:tplc="1264EFC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BFAD5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04A7354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1F2AA0"/>
    <w:multiLevelType w:val="hybridMultilevel"/>
    <w:tmpl w:val="CC764712"/>
    <w:lvl w:ilvl="0" w:tplc="DBB2D95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5F602E"/>
    <w:multiLevelType w:val="hybridMultilevel"/>
    <w:tmpl w:val="3F1A39A6"/>
    <w:lvl w:ilvl="0" w:tplc="21C0490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DD1E35"/>
    <w:multiLevelType w:val="hybridMultilevel"/>
    <w:tmpl w:val="2BEC54DE"/>
    <w:lvl w:ilvl="0" w:tplc="C3D8C5C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216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18133E7"/>
    <w:multiLevelType w:val="singleLevel"/>
    <w:tmpl w:val="E42ACE18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15" w15:restartNumberingAfterBreak="0">
    <w:nsid w:val="44A94B81"/>
    <w:multiLevelType w:val="multilevel"/>
    <w:tmpl w:val="A40E1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CA04BC3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53523D1B"/>
    <w:multiLevelType w:val="hybridMultilevel"/>
    <w:tmpl w:val="E1B6A2BA"/>
    <w:lvl w:ilvl="0" w:tplc="35BE36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04A7354">
      <w:start w:val="1"/>
      <w:numFmt w:val="upperLetter"/>
      <w:lvlText w:val="%2."/>
      <w:lvlJc w:val="left"/>
      <w:pPr>
        <w:ind w:left="216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45757FC"/>
    <w:multiLevelType w:val="hybridMultilevel"/>
    <w:tmpl w:val="6F70AAAC"/>
    <w:lvl w:ilvl="0" w:tplc="1D500F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1005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B674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9ED6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F019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6EE6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CCC9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3C6B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5C34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54E930DE"/>
    <w:multiLevelType w:val="hybridMultilevel"/>
    <w:tmpl w:val="CEA05E04"/>
    <w:lvl w:ilvl="0" w:tplc="C04A735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56A2536F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56E847E9"/>
    <w:multiLevelType w:val="hybridMultilevel"/>
    <w:tmpl w:val="18DAE24A"/>
    <w:lvl w:ilvl="0" w:tplc="0BBEC2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3A7C2A"/>
    <w:multiLevelType w:val="hybridMultilevel"/>
    <w:tmpl w:val="50D2F400"/>
    <w:lvl w:ilvl="0" w:tplc="0409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59636E09"/>
    <w:multiLevelType w:val="hybridMultilevel"/>
    <w:tmpl w:val="45D2F884"/>
    <w:lvl w:ilvl="0" w:tplc="BE4635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AF2745"/>
    <w:multiLevelType w:val="hybridMultilevel"/>
    <w:tmpl w:val="667AF3F6"/>
    <w:lvl w:ilvl="0" w:tplc="4AA866F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660EEB"/>
    <w:multiLevelType w:val="hybridMultilevel"/>
    <w:tmpl w:val="667AF3F6"/>
    <w:lvl w:ilvl="0" w:tplc="4AA866F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1B2E2B"/>
    <w:multiLevelType w:val="hybridMultilevel"/>
    <w:tmpl w:val="B77216AC"/>
    <w:lvl w:ilvl="0" w:tplc="8760FFF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2134311"/>
    <w:multiLevelType w:val="hybridMultilevel"/>
    <w:tmpl w:val="639CC23E"/>
    <w:lvl w:ilvl="0" w:tplc="70784F7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BC7517"/>
    <w:multiLevelType w:val="hybridMultilevel"/>
    <w:tmpl w:val="8708ACF6"/>
    <w:lvl w:ilvl="0" w:tplc="622CC8D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0D2300"/>
    <w:multiLevelType w:val="hybridMultilevel"/>
    <w:tmpl w:val="E6667516"/>
    <w:lvl w:ilvl="0" w:tplc="DB76EFB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42381F"/>
    <w:multiLevelType w:val="hybridMultilevel"/>
    <w:tmpl w:val="6980F416"/>
    <w:lvl w:ilvl="0" w:tplc="04FEFA3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FE443F"/>
    <w:multiLevelType w:val="singleLevel"/>
    <w:tmpl w:val="EA484AE0"/>
    <w:lvl w:ilvl="0">
      <w:start w:val="8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2" w15:restartNumberingAfterBreak="0">
    <w:nsid w:val="71367161"/>
    <w:multiLevelType w:val="hybridMultilevel"/>
    <w:tmpl w:val="E3DE5686"/>
    <w:lvl w:ilvl="0" w:tplc="A39AEC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5C92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04FE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B6A8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D2CE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3894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3AF2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2011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4099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1"/>
  </w:num>
  <w:num w:numId="2">
    <w:abstractNumId w:val="16"/>
  </w:num>
  <w:num w:numId="3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4">
    <w:abstractNumId w:val="14"/>
  </w:num>
  <w:num w:numId="5">
    <w:abstractNumId w:val="8"/>
  </w:num>
  <w:num w:numId="6">
    <w:abstractNumId w:val="10"/>
  </w:num>
  <w:num w:numId="7">
    <w:abstractNumId w:val="20"/>
  </w:num>
  <w:num w:numId="8">
    <w:abstractNumId w:val="2"/>
  </w:num>
  <w:num w:numId="9">
    <w:abstractNumId w:val="15"/>
  </w:num>
  <w:num w:numId="10">
    <w:abstractNumId w:val="22"/>
  </w:num>
  <w:num w:numId="11">
    <w:abstractNumId w:val="6"/>
  </w:num>
  <w:num w:numId="12">
    <w:abstractNumId w:val="13"/>
  </w:num>
  <w:num w:numId="13">
    <w:abstractNumId w:val="21"/>
  </w:num>
  <w:num w:numId="14">
    <w:abstractNumId w:val="26"/>
  </w:num>
  <w:num w:numId="15">
    <w:abstractNumId w:val="6"/>
    <w:lvlOverride w:ilvl="0">
      <w:lvl w:ilvl="0" w:tplc="35BE36C2">
        <w:start w:val="1"/>
        <w:numFmt w:val="upperLetter"/>
        <w:lvlText w:val="%1."/>
        <w:lvlJc w:val="left"/>
        <w:pPr>
          <w:ind w:left="2160" w:hanging="360"/>
        </w:pPr>
        <w:rPr>
          <w:rFonts w:hint="default"/>
        </w:rPr>
      </w:lvl>
    </w:lvlOverride>
    <w:lvlOverride w:ilvl="1">
      <w:lvl w:ilvl="1" w:tplc="CD54A5CE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6">
    <w:abstractNumId w:val="17"/>
  </w:num>
  <w:num w:numId="17">
    <w:abstractNumId w:val="17"/>
    <w:lvlOverride w:ilvl="0">
      <w:lvl w:ilvl="0" w:tplc="35BE36C2">
        <w:start w:val="1"/>
        <w:numFmt w:val="upperLetter"/>
        <w:lvlText w:val="%1."/>
        <w:lvlJc w:val="left"/>
        <w:pPr>
          <w:ind w:left="2160" w:hanging="360"/>
        </w:pPr>
        <w:rPr>
          <w:rFonts w:hint="default"/>
        </w:rPr>
      </w:lvl>
    </w:lvlOverride>
    <w:lvlOverride w:ilvl="1">
      <w:lvl w:ilvl="1" w:tplc="C04A7354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8">
    <w:abstractNumId w:val="19"/>
  </w:num>
  <w:num w:numId="19">
    <w:abstractNumId w:val="29"/>
  </w:num>
  <w:num w:numId="20">
    <w:abstractNumId w:val="3"/>
  </w:num>
  <w:num w:numId="21">
    <w:abstractNumId w:val="5"/>
  </w:num>
  <w:num w:numId="22">
    <w:abstractNumId w:val="7"/>
  </w:num>
  <w:num w:numId="23">
    <w:abstractNumId w:val="1"/>
  </w:num>
  <w:num w:numId="24">
    <w:abstractNumId w:val="24"/>
  </w:num>
  <w:num w:numId="25">
    <w:abstractNumId w:val="25"/>
  </w:num>
  <w:num w:numId="26">
    <w:abstractNumId w:val="12"/>
  </w:num>
  <w:num w:numId="27">
    <w:abstractNumId w:val="9"/>
  </w:num>
  <w:num w:numId="28">
    <w:abstractNumId w:val="23"/>
  </w:num>
  <w:num w:numId="29">
    <w:abstractNumId w:val="27"/>
  </w:num>
  <w:num w:numId="30">
    <w:abstractNumId w:val="28"/>
  </w:num>
  <w:num w:numId="31">
    <w:abstractNumId w:val="11"/>
  </w:num>
  <w:num w:numId="32">
    <w:abstractNumId w:val="30"/>
  </w:num>
  <w:num w:numId="33">
    <w:abstractNumId w:val="4"/>
  </w:num>
  <w:num w:numId="34">
    <w:abstractNumId w:val="32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046"/>
    <w:rsid w:val="00044782"/>
    <w:rsid w:val="0008313A"/>
    <w:rsid w:val="00084CFD"/>
    <w:rsid w:val="0009062F"/>
    <w:rsid w:val="000A6334"/>
    <w:rsid w:val="000B0732"/>
    <w:rsid w:val="000C55BA"/>
    <w:rsid w:val="000D0EBD"/>
    <w:rsid w:val="000F4154"/>
    <w:rsid w:val="000F79AE"/>
    <w:rsid w:val="00100E83"/>
    <w:rsid w:val="00101B75"/>
    <w:rsid w:val="00125B60"/>
    <w:rsid w:val="00135E0F"/>
    <w:rsid w:val="001377F6"/>
    <w:rsid w:val="0014740D"/>
    <w:rsid w:val="001676A5"/>
    <w:rsid w:val="00171E1F"/>
    <w:rsid w:val="00191384"/>
    <w:rsid w:val="00195FFD"/>
    <w:rsid w:val="001A7D9B"/>
    <w:rsid w:val="001E2781"/>
    <w:rsid w:val="001F2718"/>
    <w:rsid w:val="001F3CFA"/>
    <w:rsid w:val="001F4C64"/>
    <w:rsid w:val="00207784"/>
    <w:rsid w:val="00225865"/>
    <w:rsid w:val="00246753"/>
    <w:rsid w:val="00247463"/>
    <w:rsid w:val="00256F6D"/>
    <w:rsid w:val="00264DCD"/>
    <w:rsid w:val="002B472E"/>
    <w:rsid w:val="002C3109"/>
    <w:rsid w:val="002C37D4"/>
    <w:rsid w:val="002D75A4"/>
    <w:rsid w:val="00312038"/>
    <w:rsid w:val="00320C1A"/>
    <w:rsid w:val="003307C9"/>
    <w:rsid w:val="00337CE4"/>
    <w:rsid w:val="00344FF0"/>
    <w:rsid w:val="00356D56"/>
    <w:rsid w:val="00380D21"/>
    <w:rsid w:val="003815A1"/>
    <w:rsid w:val="00382B01"/>
    <w:rsid w:val="00385C27"/>
    <w:rsid w:val="00390B62"/>
    <w:rsid w:val="0039212D"/>
    <w:rsid w:val="003B2FC7"/>
    <w:rsid w:val="003B4496"/>
    <w:rsid w:val="003C4809"/>
    <w:rsid w:val="003E0475"/>
    <w:rsid w:val="003E71AF"/>
    <w:rsid w:val="003F2871"/>
    <w:rsid w:val="004074F1"/>
    <w:rsid w:val="004142B9"/>
    <w:rsid w:val="00420A13"/>
    <w:rsid w:val="00427E68"/>
    <w:rsid w:val="00430641"/>
    <w:rsid w:val="00431CE6"/>
    <w:rsid w:val="0043238B"/>
    <w:rsid w:val="00436483"/>
    <w:rsid w:val="0046527D"/>
    <w:rsid w:val="00473BA7"/>
    <w:rsid w:val="00486553"/>
    <w:rsid w:val="00487C4B"/>
    <w:rsid w:val="004B38B7"/>
    <w:rsid w:val="004B6F0B"/>
    <w:rsid w:val="004D1E0F"/>
    <w:rsid w:val="004D6BFC"/>
    <w:rsid w:val="004E4779"/>
    <w:rsid w:val="004E4B61"/>
    <w:rsid w:val="004E6F80"/>
    <w:rsid w:val="004F17E1"/>
    <w:rsid w:val="004F2C6D"/>
    <w:rsid w:val="005131C0"/>
    <w:rsid w:val="0051653B"/>
    <w:rsid w:val="0053273A"/>
    <w:rsid w:val="00537589"/>
    <w:rsid w:val="00537FAB"/>
    <w:rsid w:val="00555E5C"/>
    <w:rsid w:val="005632E9"/>
    <w:rsid w:val="00571144"/>
    <w:rsid w:val="005807CC"/>
    <w:rsid w:val="0059678E"/>
    <w:rsid w:val="005C7968"/>
    <w:rsid w:val="005F6831"/>
    <w:rsid w:val="00606FE7"/>
    <w:rsid w:val="00631543"/>
    <w:rsid w:val="0065227B"/>
    <w:rsid w:val="00664660"/>
    <w:rsid w:val="006A5F04"/>
    <w:rsid w:val="006A6C69"/>
    <w:rsid w:val="006B71F5"/>
    <w:rsid w:val="006F632E"/>
    <w:rsid w:val="00722B71"/>
    <w:rsid w:val="0072614D"/>
    <w:rsid w:val="007311EA"/>
    <w:rsid w:val="00744BB7"/>
    <w:rsid w:val="00754A19"/>
    <w:rsid w:val="007717E7"/>
    <w:rsid w:val="00774A3F"/>
    <w:rsid w:val="0079686A"/>
    <w:rsid w:val="007A7127"/>
    <w:rsid w:val="008022A1"/>
    <w:rsid w:val="008040AB"/>
    <w:rsid w:val="00817339"/>
    <w:rsid w:val="00832C0C"/>
    <w:rsid w:val="00835783"/>
    <w:rsid w:val="00837413"/>
    <w:rsid w:val="0086510A"/>
    <w:rsid w:val="00876D52"/>
    <w:rsid w:val="00885B6E"/>
    <w:rsid w:val="008A480C"/>
    <w:rsid w:val="008B7EC1"/>
    <w:rsid w:val="008C4046"/>
    <w:rsid w:val="008D26EB"/>
    <w:rsid w:val="008E16F0"/>
    <w:rsid w:val="008F5F75"/>
    <w:rsid w:val="009007AC"/>
    <w:rsid w:val="00914706"/>
    <w:rsid w:val="009208CE"/>
    <w:rsid w:val="00936C25"/>
    <w:rsid w:val="00937C6D"/>
    <w:rsid w:val="00954130"/>
    <w:rsid w:val="009A4847"/>
    <w:rsid w:val="009A5153"/>
    <w:rsid w:val="009C077A"/>
    <w:rsid w:val="009C7378"/>
    <w:rsid w:val="009D10E0"/>
    <w:rsid w:val="009F61C6"/>
    <w:rsid w:val="00A13E43"/>
    <w:rsid w:val="00A155AE"/>
    <w:rsid w:val="00A65B3D"/>
    <w:rsid w:val="00A87665"/>
    <w:rsid w:val="00AA150C"/>
    <w:rsid w:val="00AA5981"/>
    <w:rsid w:val="00AB1196"/>
    <w:rsid w:val="00AE185F"/>
    <w:rsid w:val="00AE4E03"/>
    <w:rsid w:val="00AE79C1"/>
    <w:rsid w:val="00AF32B9"/>
    <w:rsid w:val="00B20B9D"/>
    <w:rsid w:val="00B23F06"/>
    <w:rsid w:val="00B742F5"/>
    <w:rsid w:val="00B840A2"/>
    <w:rsid w:val="00B85EA0"/>
    <w:rsid w:val="00BB3680"/>
    <w:rsid w:val="00BC4339"/>
    <w:rsid w:val="00BC7E1A"/>
    <w:rsid w:val="00BD3930"/>
    <w:rsid w:val="00BD6581"/>
    <w:rsid w:val="00BF1086"/>
    <w:rsid w:val="00BF6C71"/>
    <w:rsid w:val="00C211E8"/>
    <w:rsid w:val="00C35A5A"/>
    <w:rsid w:val="00C51250"/>
    <w:rsid w:val="00C66511"/>
    <w:rsid w:val="00C714F4"/>
    <w:rsid w:val="00C74595"/>
    <w:rsid w:val="00C85B38"/>
    <w:rsid w:val="00C9034A"/>
    <w:rsid w:val="00CD5EB2"/>
    <w:rsid w:val="00D16BC9"/>
    <w:rsid w:val="00D24D51"/>
    <w:rsid w:val="00D32AE6"/>
    <w:rsid w:val="00D50A63"/>
    <w:rsid w:val="00D649D9"/>
    <w:rsid w:val="00D661F8"/>
    <w:rsid w:val="00D73398"/>
    <w:rsid w:val="00D80CD7"/>
    <w:rsid w:val="00D92D98"/>
    <w:rsid w:val="00DB6528"/>
    <w:rsid w:val="00DB67B7"/>
    <w:rsid w:val="00DC59C6"/>
    <w:rsid w:val="00DE03FC"/>
    <w:rsid w:val="00DE3F2A"/>
    <w:rsid w:val="00E004F9"/>
    <w:rsid w:val="00E106F3"/>
    <w:rsid w:val="00E412BC"/>
    <w:rsid w:val="00E47DF0"/>
    <w:rsid w:val="00E52693"/>
    <w:rsid w:val="00E657DB"/>
    <w:rsid w:val="00E72A8D"/>
    <w:rsid w:val="00EB4FAD"/>
    <w:rsid w:val="00EC0E6B"/>
    <w:rsid w:val="00EC4936"/>
    <w:rsid w:val="00ED4D99"/>
    <w:rsid w:val="00EE2797"/>
    <w:rsid w:val="00F22684"/>
    <w:rsid w:val="00F30B2B"/>
    <w:rsid w:val="00F5527E"/>
    <w:rsid w:val="00F65D74"/>
    <w:rsid w:val="00F72444"/>
    <w:rsid w:val="00FC3BCD"/>
    <w:rsid w:val="00FD17DB"/>
    <w:rsid w:val="00FE2683"/>
    <w:rsid w:val="00FE48EE"/>
    <w:rsid w:val="00FE5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BCFFB04"/>
  <w15:chartTrackingRefBased/>
  <w15:docId w15:val="{09A0D8D6-C78B-4B98-BD93-64A9543C2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264DCD"/>
    <w:rPr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right" w:pos="8640"/>
      </w:tabs>
      <w:suppressAutoHyphens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left="72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suppressAutoHyphens/>
      <w:jc w:val="center"/>
    </w:pPr>
    <w:rPr>
      <w:sz w:val="32"/>
    </w:rPr>
  </w:style>
  <w:style w:type="paragraph" w:styleId="BodyTextIndent">
    <w:name w:val="Body Text Indent"/>
    <w:basedOn w:val="Normal"/>
    <w:pPr>
      <w:tabs>
        <w:tab w:val="left" w:pos="-720"/>
        <w:tab w:val="left" w:pos="0"/>
        <w:tab w:val="left" w:pos="720"/>
        <w:tab w:val="left" w:pos="1440"/>
        <w:tab w:val="left" w:pos="2160"/>
      </w:tabs>
      <w:suppressAutoHyphens/>
      <w:ind w:left="2520" w:hanging="360"/>
    </w:pPr>
    <w:rPr>
      <w:spacing w:val="-2"/>
    </w:rPr>
  </w:style>
  <w:style w:type="paragraph" w:styleId="Subtitle">
    <w:name w:val="Subtitle"/>
    <w:basedOn w:val="Normal"/>
    <w:qFormat/>
    <w:pPr>
      <w:tabs>
        <w:tab w:val="center" w:pos="5040"/>
      </w:tabs>
      <w:suppressAutoHyphens/>
    </w:pPr>
    <w:rPr>
      <w:b/>
      <w:sz w:val="28"/>
    </w:rPr>
  </w:style>
  <w:style w:type="paragraph" w:styleId="BodyTextIndent2">
    <w:name w:val="Body Text Indent 2"/>
    <w:basedOn w:val="Normal"/>
    <w:pPr>
      <w:tabs>
        <w:tab w:val="left" w:pos="-720"/>
        <w:tab w:val="left" w:pos="0"/>
      </w:tabs>
      <w:suppressAutoHyphens/>
      <w:ind w:left="1440" w:hanging="720"/>
    </w:pPr>
    <w:rPr>
      <w:spacing w:val="-2"/>
    </w:rPr>
  </w:style>
  <w:style w:type="paragraph" w:styleId="BodyTextIndent3">
    <w:name w:val="Body Text Indent 3"/>
    <w:basedOn w:val="Normal"/>
    <w:pPr>
      <w:ind w:left="720"/>
    </w:pPr>
  </w:style>
  <w:style w:type="character" w:customStyle="1" w:styleId="HTMLMarkup">
    <w:name w:val="HTML Markup"/>
    <w:rPr>
      <w:vanish/>
      <w:color w:val="FF0000"/>
    </w:rPr>
  </w:style>
  <w:style w:type="paragraph" w:customStyle="1" w:styleId="Default">
    <w:name w:val="Default"/>
    <w:rsid w:val="00D50A6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EndnoteText">
    <w:name w:val="endnote text"/>
    <w:basedOn w:val="Normal"/>
    <w:link w:val="EndnoteTextChar"/>
    <w:rsid w:val="00427E68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427E68"/>
  </w:style>
  <w:style w:type="character" w:styleId="EndnoteReference">
    <w:name w:val="endnote reference"/>
    <w:rsid w:val="00427E6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04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675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9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5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856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46870-8EDE-4A5F-B064-5EFC8BE88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5</Pages>
  <Words>1542</Words>
  <Characters>8790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FLINT HILL FIRE DEPARTMENT</vt:lpstr>
    </vt:vector>
  </TitlesOfParts>
  <Company>Duke Energy Corporation</Company>
  <LinksUpToDate>false</LinksUpToDate>
  <CharactersWithSpaces>10312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FLINT HILL FIRE DEPARTMENT</dc:title>
  <dc:subject/>
  <dc:creator>David W Jennings</dc:creator>
  <cp:keywords/>
  <cp:lastModifiedBy>Kevin Hayes</cp:lastModifiedBy>
  <cp:revision>14</cp:revision>
  <cp:lastPrinted>2008-03-09T21:56:00Z</cp:lastPrinted>
  <dcterms:created xsi:type="dcterms:W3CDTF">2017-04-18T00:47:00Z</dcterms:created>
  <dcterms:modified xsi:type="dcterms:W3CDTF">2017-04-20T05:02:00Z</dcterms:modified>
</cp:coreProperties>
</file>